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5A0F39A5" w:rsidR="000830E3" w:rsidRDefault="00BB66A5" w:rsidP="00BB66A5">
      <w:pPr>
        <w:pStyle w:val="Pagedecouverture"/>
        <w:rPr>
          <w:noProof/>
        </w:rPr>
      </w:pPr>
      <w:bookmarkStart w:id="0" w:name="LW_BM_COVERPAGE"/>
      <w:r>
        <w:rPr>
          <w:noProof/>
        </w:rPr>
        <w:pict w14:anchorId="7B731F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0AE920A-750C-4BAE-8E00-581F4B649130" style="width:455.25pt;height:548.25pt">
            <v:imagedata r:id="rId15" o:title=""/>
          </v:shape>
        </w:pict>
      </w:r>
    </w:p>
    <w:bookmarkEnd w:id="0"/>
    <w:p w14:paraId="2BAF3ADB" w14:textId="77777777" w:rsidR="000830E3" w:rsidRDefault="000830E3" w:rsidP="000830E3">
      <w:pPr>
        <w:rPr>
          <w:noProof/>
        </w:rPr>
        <w:sectPr w:rsidR="000830E3" w:rsidSect="00BB66A5">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17B7782E" w14:textId="77777777" w:rsidR="00490F94" w:rsidRPr="00703B6E" w:rsidRDefault="00490F94" w:rsidP="00490F94">
      <w:pPr>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1" w:name="_GoBack"/>
      <w:bookmarkEnd w:id="1"/>
      <w:r w:rsidRPr="00703B6E">
        <w:rPr>
          <w:b/>
          <w:smallCaps/>
          <w:noProof/>
          <w:szCs w:val="24"/>
          <w:u w:val="single"/>
          <w:lang w:eastAsia="en-GB"/>
        </w:rPr>
        <w:lastRenderedPageBreak/>
        <w:t>Abstract</w:t>
      </w:r>
    </w:p>
    <w:p w14:paraId="748A41CB" w14:textId="77777777" w:rsidR="00490F94" w:rsidRPr="00D547AD" w:rsidRDefault="00490F94" w:rsidP="00490F94">
      <w:pPr>
        <w:pBdr>
          <w:top w:val="single" w:sz="4" w:space="1" w:color="auto"/>
          <w:left w:val="single" w:sz="4" w:space="4" w:color="auto"/>
          <w:bottom w:val="single" w:sz="4" w:space="17" w:color="auto"/>
          <w:right w:val="single" w:sz="4" w:space="4" w:color="auto"/>
        </w:pBdr>
        <w:rPr>
          <w:noProof/>
          <w:lang w:eastAsia="en-GB"/>
        </w:rPr>
      </w:pPr>
      <w:r w:rsidRPr="00D547AD">
        <w:rPr>
          <w:noProof/>
          <w:lang w:eastAsia="en-GB"/>
        </w:rPr>
        <w:t xml:space="preserve">The recruitment of magistrates and administrative court staff continues at a good pace, with the aim of closing the persistent shortages. The Government has launched competitions for the permanent recruitment of most court clerks. Sustainability of the workload of professional tax judges and justices of the peace is a challenge. </w:t>
      </w:r>
      <w:r w:rsidRPr="005E06B4">
        <w:rPr>
          <w:noProof/>
          <w:lang w:eastAsia="en-GB"/>
        </w:rPr>
        <w:t>The government tabled in Parliament a draft law on the legal profession, prepared in cooperation with lawyers’ associations</w:t>
      </w:r>
      <w:r>
        <w:rPr>
          <w:noProof/>
          <w:lang w:eastAsia="en-GB"/>
        </w:rPr>
        <w:t>.</w:t>
      </w:r>
      <w:r w:rsidRPr="005E06B4" w:rsidDel="00D15A92">
        <w:rPr>
          <w:noProof/>
          <w:lang w:eastAsia="en-GB"/>
        </w:rPr>
        <w:t xml:space="preserve"> </w:t>
      </w:r>
      <w:r w:rsidRPr="00D547AD">
        <w:rPr>
          <w:noProof/>
          <w:lang w:eastAsia="en-GB"/>
        </w:rPr>
        <w:t>Further steps have been taken to complete the digital case management system for criminal courts and prosecutors’ offices, following concrete cooperation between executive and judiciary in addressing gaps and initial delays. While a few elements remain pending, the first-instance criminal trial workflow is now fully digitalised. The positive trend in reduction of the disposition time continued, while the length of judicial proceedings remains a serious issue. Backlog reduction continued, particularly for the older cases. In the absence of majority support in a referendum, the envisaged constitutional reform separating careers of judges and prosecutors did not materialise.</w:t>
      </w:r>
    </w:p>
    <w:p w14:paraId="770AF4B7" w14:textId="77777777" w:rsidR="00490F94" w:rsidRPr="0002081B" w:rsidRDefault="00490F94" w:rsidP="00490F94">
      <w:pPr>
        <w:pBdr>
          <w:top w:val="single" w:sz="4" w:space="1" w:color="auto"/>
          <w:left w:val="single" w:sz="4" w:space="4" w:color="auto"/>
          <w:bottom w:val="single" w:sz="4" w:space="17" w:color="auto"/>
          <w:right w:val="single" w:sz="4" w:space="4" w:color="auto"/>
        </w:pBdr>
        <w:spacing w:after="0"/>
        <w:rPr>
          <w:noProof/>
          <w:lang w:eastAsia="en-GB"/>
        </w:rPr>
      </w:pPr>
      <w:r w:rsidRPr="00D547AD">
        <w:rPr>
          <w:noProof/>
          <w:lang w:eastAsia="en-GB"/>
        </w:rPr>
        <w:t>A new national anti-corruption strategy was</w:t>
      </w:r>
      <w:r w:rsidRPr="0FF586BA">
        <w:rPr>
          <w:noProof/>
          <w:lang w:eastAsia="en-GB"/>
        </w:rPr>
        <w:t xml:space="preserve"> adopted for the years 2026-2028. </w:t>
      </w:r>
      <w:r>
        <w:rPr>
          <w:noProof/>
          <w:lang w:eastAsia="en-GB"/>
        </w:rPr>
        <w:t>The criminal law framework to combat corruption has been stabilised,</w:t>
      </w:r>
      <w:r w:rsidRPr="007A1976">
        <w:rPr>
          <w:noProof/>
          <w:lang w:eastAsia="en-GB"/>
        </w:rPr>
        <w:t xml:space="preserve"> </w:t>
      </w:r>
      <w:r>
        <w:rPr>
          <w:noProof/>
          <w:lang w:eastAsia="en-GB"/>
        </w:rPr>
        <w:t xml:space="preserve">with </w:t>
      </w:r>
      <w:r w:rsidRPr="007A1976">
        <w:rPr>
          <w:noProof/>
          <w:lang w:eastAsia="en-GB"/>
        </w:rPr>
        <w:t>the Constitutional Court rul</w:t>
      </w:r>
      <w:r>
        <w:rPr>
          <w:noProof/>
          <w:lang w:eastAsia="en-GB"/>
        </w:rPr>
        <w:t>ing</w:t>
      </w:r>
      <w:r w:rsidRPr="007A1976">
        <w:rPr>
          <w:noProof/>
          <w:lang w:eastAsia="en-GB"/>
        </w:rPr>
        <w:t xml:space="preserve"> that the law restricting the scope of </w:t>
      </w:r>
      <w:r>
        <w:rPr>
          <w:noProof/>
          <w:lang w:eastAsia="en-GB"/>
        </w:rPr>
        <w:t xml:space="preserve">the offence of </w:t>
      </w:r>
      <w:r w:rsidRPr="007A1976">
        <w:rPr>
          <w:noProof/>
          <w:lang w:eastAsia="en-GB"/>
        </w:rPr>
        <w:t>trading in influence is not in breach of the Constitution</w:t>
      </w:r>
      <w:r>
        <w:rPr>
          <w:noProof/>
          <w:lang w:eastAsia="en-GB"/>
        </w:rPr>
        <w:t>.</w:t>
      </w:r>
      <w:r w:rsidRPr="0FF586BA">
        <w:rPr>
          <w:noProof/>
          <w:lang w:eastAsia="en-GB"/>
        </w:rPr>
        <w:t xml:space="preserve"> </w:t>
      </w:r>
      <w:r w:rsidRPr="0002081B">
        <w:rPr>
          <w:noProof/>
          <w:lang w:eastAsia="en-GB"/>
        </w:rPr>
        <w:t xml:space="preserve">The </w:t>
      </w:r>
      <w:r w:rsidRPr="00B428DE">
        <w:rPr>
          <w:noProof/>
          <w:lang w:eastAsia="en-GB"/>
        </w:rPr>
        <w:t>pace</w:t>
      </w:r>
      <w:r w:rsidRPr="0002081B">
        <w:rPr>
          <w:noProof/>
          <w:lang w:eastAsia="en-GB"/>
        </w:rPr>
        <w:t xml:space="preserve"> of convictions </w:t>
      </w:r>
      <w:r>
        <w:rPr>
          <w:noProof/>
          <w:lang w:eastAsia="en-GB"/>
        </w:rPr>
        <w:t>in</w:t>
      </w:r>
      <w:r w:rsidRPr="0002081B">
        <w:rPr>
          <w:noProof/>
          <w:lang w:eastAsia="en-GB"/>
        </w:rPr>
        <w:t xml:space="preserve"> corruption </w:t>
      </w:r>
      <w:r>
        <w:rPr>
          <w:noProof/>
          <w:lang w:eastAsia="en-GB"/>
        </w:rPr>
        <w:t>cases was maintained</w:t>
      </w:r>
      <w:r w:rsidRPr="0002081B">
        <w:rPr>
          <w:noProof/>
          <w:lang w:eastAsia="en-GB"/>
        </w:rPr>
        <w:t xml:space="preserve">. While a draft law on conflicts of interest remains pending in Parliament, </w:t>
      </w:r>
      <w:r w:rsidRPr="0002081B">
        <w:rPr>
          <w:noProof/>
          <w:lang w:eastAsia="fr-FR"/>
        </w:rPr>
        <w:t>existing rules on post-employment restrictions for local public officials were removed in August 2025</w:t>
      </w:r>
      <w:r w:rsidRPr="0002081B">
        <w:rPr>
          <w:noProof/>
          <w:lang w:eastAsia="en-GB"/>
        </w:rPr>
        <w:t xml:space="preserve">. A draft law on lobbying was adopted in the Chamber and </w:t>
      </w:r>
      <w:r>
        <w:rPr>
          <w:noProof/>
          <w:lang w:eastAsia="en-GB"/>
        </w:rPr>
        <w:t>is being assessed</w:t>
      </w:r>
      <w:r w:rsidRPr="0002081B">
        <w:rPr>
          <w:noProof/>
          <w:lang w:eastAsia="en-GB"/>
        </w:rPr>
        <w:t xml:space="preserve"> in the Senate. The draft laws on political party and campaign financing addressing the issue of private party donations being channelled via political foundations remain pending</w:t>
      </w:r>
      <w:r>
        <w:rPr>
          <w:noProof/>
          <w:lang w:eastAsia="en-GB"/>
        </w:rPr>
        <w:t xml:space="preserve"> in Parliament</w:t>
      </w:r>
      <w:r w:rsidRPr="0002081B">
        <w:rPr>
          <w:noProof/>
          <w:lang w:eastAsia="en-GB"/>
        </w:rPr>
        <w:t>. The National Anti-Corruption Authority (ANAC) issued additional whistleblowing guidelines. The launch of the Single Transparency Portal increases transparency of public procurement</w:t>
      </w:r>
      <w:r>
        <w:rPr>
          <w:noProof/>
          <w:lang w:eastAsia="en-GB"/>
        </w:rPr>
        <w:t>,</w:t>
      </w:r>
      <w:r w:rsidRPr="0002081B">
        <w:rPr>
          <w:noProof/>
          <w:lang w:eastAsia="en-GB"/>
        </w:rPr>
        <w:t xml:space="preserve"> which remains a high-risk area. </w:t>
      </w:r>
    </w:p>
    <w:p w14:paraId="7A5B06F0" w14:textId="77777777" w:rsidR="00490F94" w:rsidRPr="0002081B" w:rsidRDefault="00490F94" w:rsidP="00490F94">
      <w:pPr>
        <w:pBdr>
          <w:top w:val="single" w:sz="4" w:space="1" w:color="auto"/>
          <w:left w:val="single" w:sz="4" w:space="4" w:color="auto"/>
          <w:bottom w:val="single" w:sz="4" w:space="17" w:color="auto"/>
          <w:right w:val="single" w:sz="4" w:space="4" w:color="auto"/>
        </w:pBdr>
        <w:spacing w:after="0"/>
        <w:rPr>
          <w:noProof/>
          <w:lang w:eastAsia="en-GB"/>
        </w:rPr>
      </w:pPr>
    </w:p>
    <w:p w14:paraId="11262C23" w14:textId="77777777" w:rsidR="00490F94" w:rsidRPr="0002081B" w:rsidRDefault="00490F94" w:rsidP="00490F94">
      <w:pPr>
        <w:pBdr>
          <w:top w:val="single" w:sz="4" w:space="1" w:color="auto"/>
          <w:left w:val="single" w:sz="4" w:space="4" w:color="auto"/>
          <w:bottom w:val="single" w:sz="4" w:space="17" w:color="auto"/>
          <w:right w:val="single" w:sz="4" w:space="4" w:color="auto"/>
        </w:pBdr>
        <w:rPr>
          <w:noProof/>
          <w:lang w:eastAsia="en-GB"/>
        </w:rPr>
      </w:pPr>
      <w:r w:rsidRPr="0002081B">
        <w:rPr>
          <w:noProof/>
          <w:lang w:eastAsia="en-GB"/>
        </w:rPr>
        <w:t xml:space="preserve">The </w:t>
      </w:r>
      <w:r w:rsidRPr="00D547AD">
        <w:rPr>
          <w:noProof/>
          <w:lang w:eastAsia="en-GB"/>
        </w:rPr>
        <w:t xml:space="preserve">media regulator exercises its functions independently and legislative changes were introduced to strengthen its financial autonomy. Parliamentary work is ongoing on a reform of the public service media’s governance and funding rules. A system of public funding is in place for the allocation of resources and the financing of policies and initiatives in support of the media sector. </w:t>
      </w:r>
      <w:r w:rsidRPr="006E7980">
        <w:rPr>
          <w:noProof/>
          <w:lang w:val="en-IE" w:eastAsia="fr-FR"/>
        </w:rPr>
        <w:t>New legislative initiatives on the protection of journalists</w:t>
      </w:r>
      <w:r w:rsidRPr="006E7980" w:rsidDel="001C5EFF">
        <w:rPr>
          <w:noProof/>
          <w:lang w:val="en-IE" w:eastAsia="fr-FR"/>
        </w:rPr>
        <w:t xml:space="preserve"> </w:t>
      </w:r>
      <w:r w:rsidRPr="006E7980">
        <w:rPr>
          <w:noProof/>
          <w:lang w:val="en-IE" w:eastAsia="fr-FR"/>
        </w:rPr>
        <w:t>are under development, while physical attacks and other forms of intimidations remain a source of concern.</w:t>
      </w:r>
      <w:r>
        <w:rPr>
          <w:noProof/>
          <w:lang w:eastAsia="en-GB"/>
        </w:rPr>
        <w:t xml:space="preserve"> </w:t>
      </w:r>
      <w:r w:rsidRPr="00D547AD">
        <w:rPr>
          <w:noProof/>
          <w:lang w:eastAsia="en-GB"/>
        </w:rPr>
        <w:t>There were no developments on the pending press defamation reform.</w:t>
      </w:r>
      <w:r w:rsidRPr="0002081B">
        <w:rPr>
          <w:noProof/>
          <w:lang w:eastAsia="en-GB"/>
        </w:rPr>
        <w:t xml:space="preserve"> </w:t>
      </w:r>
    </w:p>
    <w:p w14:paraId="0077F371" w14:textId="1621E7E7" w:rsidR="00281BDB" w:rsidRDefault="00490F94" w:rsidP="00490F94">
      <w:pPr>
        <w:pBdr>
          <w:top w:val="single" w:sz="4" w:space="1" w:color="auto"/>
          <w:left w:val="single" w:sz="4" w:space="4" w:color="auto"/>
          <w:bottom w:val="single" w:sz="4" w:space="17" w:color="auto"/>
          <w:right w:val="single" w:sz="4" w:space="4" w:color="auto"/>
        </w:pBdr>
        <w:rPr>
          <w:noProof/>
        </w:rPr>
      </w:pPr>
      <w:r w:rsidRPr="00703B6E">
        <w:rPr>
          <w:noProof/>
          <w:lang w:eastAsia="en-GB"/>
        </w:rPr>
        <w:t>The draft constitutional reform to introduce the direct election of the Prime Minister remains on the agenda of Parliament. Stakeholders continued to express concerns about the excessive use of emergency decrees and of motions of confidence</w:t>
      </w:r>
      <w:r w:rsidRPr="00D71250">
        <w:rPr>
          <w:noProof/>
          <w:lang w:eastAsia="en-GB"/>
        </w:rPr>
        <w:t>, while the Chamber of Deputies took steps to limit their use in the future.</w:t>
      </w:r>
      <w:r w:rsidRPr="0FF586BA">
        <w:rPr>
          <w:noProof/>
          <w:lang w:eastAsia="fr-FR"/>
        </w:rPr>
        <w:t xml:space="preserve"> </w:t>
      </w:r>
      <w:r>
        <w:rPr>
          <w:noProof/>
          <w:lang w:eastAsia="en-GB"/>
        </w:rPr>
        <w:t xml:space="preserve">Initial steps were taken </w:t>
      </w:r>
      <w:r w:rsidRPr="00703B6E">
        <w:rPr>
          <w:noProof/>
          <w:lang w:eastAsia="en-GB"/>
        </w:rPr>
        <w:t>to</w:t>
      </w:r>
      <w:r>
        <w:rPr>
          <w:noProof/>
          <w:lang w:eastAsia="en-GB"/>
        </w:rPr>
        <w:t>wards</w:t>
      </w:r>
      <w:r w:rsidRPr="00703B6E">
        <w:rPr>
          <w:noProof/>
          <w:lang w:eastAsia="en-GB"/>
        </w:rPr>
        <w:t xml:space="preserve"> establish</w:t>
      </w:r>
      <w:r>
        <w:rPr>
          <w:noProof/>
          <w:lang w:eastAsia="en-GB"/>
        </w:rPr>
        <w:t>ing</w:t>
      </w:r>
      <w:r w:rsidRPr="00703B6E">
        <w:rPr>
          <w:noProof/>
          <w:lang w:eastAsia="en-GB"/>
        </w:rPr>
        <w:t xml:space="preserve"> a National Human Rights Institution (NHRI). </w:t>
      </w:r>
      <w:r w:rsidRPr="0002081B">
        <w:rPr>
          <w:noProof/>
          <w:lang w:eastAsia="fr-FR"/>
        </w:rPr>
        <w:t xml:space="preserve">The </w:t>
      </w:r>
      <w:r>
        <w:rPr>
          <w:noProof/>
          <w:lang w:eastAsia="fr-FR"/>
        </w:rPr>
        <w:t>2025 ‘</w:t>
      </w:r>
      <w:r w:rsidRPr="0002081B">
        <w:rPr>
          <w:noProof/>
          <w:lang w:eastAsia="fr-FR"/>
        </w:rPr>
        <w:t>security law</w:t>
      </w:r>
      <w:r>
        <w:rPr>
          <w:noProof/>
          <w:lang w:eastAsia="fr-FR"/>
        </w:rPr>
        <w:t>’</w:t>
      </w:r>
      <w:r w:rsidRPr="0002081B">
        <w:rPr>
          <w:noProof/>
          <w:lang w:eastAsia="fr-FR"/>
        </w:rPr>
        <w:t xml:space="preserve"> </w:t>
      </w:r>
      <w:r>
        <w:rPr>
          <w:noProof/>
          <w:lang w:eastAsia="fr-FR"/>
        </w:rPr>
        <w:t>is</w:t>
      </w:r>
      <w:r w:rsidRPr="0002081B">
        <w:rPr>
          <w:noProof/>
          <w:lang w:eastAsia="fr-FR"/>
        </w:rPr>
        <w:t xml:space="preserve"> being implemented </w:t>
      </w:r>
      <w:r>
        <w:rPr>
          <w:noProof/>
          <w:lang w:eastAsia="fr-FR"/>
        </w:rPr>
        <w:t xml:space="preserve">and </w:t>
      </w:r>
      <w:r w:rsidRPr="0002081B">
        <w:rPr>
          <w:noProof/>
          <w:lang w:eastAsia="fr-FR"/>
        </w:rPr>
        <w:t>a</w:t>
      </w:r>
      <w:r>
        <w:rPr>
          <w:noProof/>
          <w:lang w:eastAsia="fr-FR"/>
        </w:rPr>
        <w:t xml:space="preserve"> new</w:t>
      </w:r>
      <w:r w:rsidRPr="0002081B">
        <w:rPr>
          <w:noProof/>
          <w:lang w:eastAsia="fr-FR"/>
        </w:rPr>
        <w:t xml:space="preserve"> emergency decree in the field of internal security </w:t>
      </w:r>
      <w:r>
        <w:rPr>
          <w:noProof/>
          <w:lang w:eastAsia="fr-FR"/>
        </w:rPr>
        <w:t>was converted into law</w:t>
      </w:r>
      <w:r w:rsidRPr="0002081B">
        <w:rPr>
          <w:noProof/>
          <w:lang w:eastAsia="fr-FR"/>
        </w:rPr>
        <w:t>, wit</w:t>
      </w:r>
      <w:r>
        <w:rPr>
          <w:noProof/>
          <w:lang w:eastAsia="fr-FR"/>
        </w:rPr>
        <w:t>h</w:t>
      </w:r>
      <w:r w:rsidRPr="0002081B">
        <w:rPr>
          <w:noProof/>
          <w:lang w:eastAsia="fr-FR"/>
        </w:rPr>
        <w:t xml:space="preserve"> some</w:t>
      </w:r>
      <w:r w:rsidRPr="00703B6E">
        <w:rPr>
          <w:b/>
          <w:bCs/>
          <w:noProof/>
          <w:lang w:eastAsia="fr-FR"/>
        </w:rPr>
        <w:t xml:space="preserve"> </w:t>
      </w:r>
      <w:r w:rsidRPr="00703B6E">
        <w:rPr>
          <w:noProof/>
          <w:lang w:eastAsia="en-GB"/>
        </w:rPr>
        <w:t>stakeholders rais</w:t>
      </w:r>
      <w:r>
        <w:rPr>
          <w:noProof/>
          <w:lang w:eastAsia="en-GB"/>
        </w:rPr>
        <w:t>ing</w:t>
      </w:r>
      <w:r w:rsidRPr="00703B6E">
        <w:rPr>
          <w:noProof/>
          <w:lang w:eastAsia="en-GB"/>
        </w:rPr>
        <w:t xml:space="preserve"> concern about their possible impact on civic space and the exercise of fundamental rights and freedoms.</w:t>
      </w:r>
      <w:r w:rsidRPr="0002081B">
        <w:rPr>
          <w:noProof/>
        </w:rPr>
        <w:t xml:space="preserve"> </w:t>
      </w:r>
    </w:p>
    <w:p w14:paraId="2C9263B5" w14:textId="250CA261" w:rsidR="00433675" w:rsidRDefault="007B18B7" w:rsidP="00433675">
      <w:pPr>
        <w:pageBreakBefore/>
        <w:pBdr>
          <w:top w:val="single" w:sz="4" w:space="1" w:color="auto"/>
          <w:left w:val="single" w:sz="4" w:space="4" w:color="auto"/>
          <w:bottom w:val="single" w:sz="4" w:space="17" w:color="auto"/>
          <w:right w:val="single" w:sz="4" w:space="4" w:color="auto"/>
        </w:pBdr>
        <w:rPr>
          <w:b/>
          <w:bCs/>
          <w:smallCaps/>
          <w:noProof/>
          <w:u w:val="single"/>
          <w:lang w:val="en-IE" w:eastAsia="en-GB"/>
        </w:rPr>
      </w:pPr>
      <w:bookmarkStart w:id="2" w:name="_Hlk202256986"/>
      <w:r>
        <w:rPr>
          <w:b/>
          <w:bCs/>
          <w:smallCaps/>
          <w:noProof/>
          <w:u w:val="single"/>
          <w:lang w:val="en-IE" w:eastAsia="en-GB"/>
        </w:rPr>
        <w:t xml:space="preserve">Recommendations </w:t>
      </w:r>
      <w:r w:rsidR="00433675">
        <w:rPr>
          <w:b/>
          <w:bCs/>
          <w:smallCaps/>
          <w:noProof/>
          <w:u w:val="single"/>
          <w:lang w:val="en-IE" w:eastAsia="en-GB"/>
        </w:rPr>
        <w:t xml:space="preserve"> </w:t>
      </w:r>
    </w:p>
    <w:p w14:paraId="0707CEBB" w14:textId="77777777" w:rsidR="00433675" w:rsidRDefault="00433675" w:rsidP="00433675">
      <w:pPr>
        <w:pBdr>
          <w:top w:val="single" w:sz="4" w:space="1" w:color="auto"/>
          <w:left w:val="single" w:sz="4" w:space="4" w:color="auto"/>
          <w:bottom w:val="single" w:sz="4" w:space="17" w:color="auto"/>
          <w:right w:val="single" w:sz="4" w:space="4" w:color="auto"/>
        </w:pBdr>
        <w:contextualSpacing/>
        <w:rPr>
          <w:noProof/>
          <w:szCs w:val="24"/>
          <w:lang w:val="en-IE" w:eastAsia="en-GB"/>
        </w:rPr>
      </w:pPr>
      <w:r>
        <w:rPr>
          <w:noProof/>
          <w:szCs w:val="24"/>
          <w:lang w:val="en-IE" w:eastAsia="en-GB"/>
        </w:rPr>
        <w:t>Overall, based on the recommendations in the 2025 Rule of Law Report, considering other developments that took place in the period of reference, and in addition to recalling</w:t>
      </w:r>
      <w:r>
        <w:rPr>
          <w:rFonts w:ascii="Segoe UI" w:hAnsi="Segoe UI" w:cs="Segoe UI"/>
          <w:i/>
          <w:noProof/>
          <w:color w:val="242424"/>
          <w:sz w:val="21"/>
          <w:szCs w:val="21"/>
          <w:shd w:val="clear" w:color="auto" w:fill="FFFFFF"/>
          <w:lang w:val="en-IE"/>
        </w:rPr>
        <w:t xml:space="preserve"> </w:t>
      </w:r>
      <w:r>
        <w:rPr>
          <w:noProof/>
          <w:szCs w:val="24"/>
          <w:lang w:val="en-IE" w:eastAsia="en-GB"/>
        </w:rPr>
        <w:t xml:space="preserve">the relevant commitments made under the Recovery and Resilience Plan and the country-specific recommendation under the European Semester on the efficiency of the justice system, the Commission concludes the following: </w:t>
      </w:r>
    </w:p>
    <w:p w14:paraId="51928358" w14:textId="77777777" w:rsidR="00433675" w:rsidRDefault="00433675" w:rsidP="00433675">
      <w:pPr>
        <w:pBdr>
          <w:top w:val="single" w:sz="4" w:space="1" w:color="auto"/>
          <w:left w:val="single" w:sz="4" w:space="4" w:color="auto"/>
          <w:bottom w:val="single" w:sz="4" w:space="17" w:color="auto"/>
          <w:right w:val="single" w:sz="4" w:space="4" w:color="auto"/>
        </w:pBdr>
        <w:contextualSpacing/>
        <w:rPr>
          <w:noProof/>
          <w:szCs w:val="22"/>
          <w:lang w:val="en-IE" w:eastAsia="en-GB"/>
        </w:rPr>
      </w:pPr>
    </w:p>
    <w:p w14:paraId="7CC5B5A2" w14:textId="77777777" w:rsidR="00433675" w:rsidRDefault="00433675" w:rsidP="00433675">
      <w:pPr>
        <w:numPr>
          <w:ilvl w:val="0"/>
          <w:numId w:val="25"/>
        </w:num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Significant further progress has been made on completing the digital case management system for criminal courts and prosecutors’ offices, as the first-instance criminal trial workflow is now fully digitalised. Since some procedures remain to be digitalised, </w:t>
      </w:r>
      <w:r>
        <w:rPr>
          <w:noProof/>
          <w:szCs w:val="24"/>
          <w:lang w:val="en-IE"/>
        </w:rPr>
        <w:t xml:space="preserve">it is recommended to Italy to </w:t>
      </w:r>
      <w:r>
        <w:rPr>
          <w:i/>
          <w:noProof/>
          <w:szCs w:val="24"/>
          <w:lang w:val="en-IE"/>
        </w:rPr>
        <w:t>complete the digital case management system in all instances</w:t>
      </w:r>
      <w:r>
        <w:rPr>
          <w:noProof/>
          <w:szCs w:val="24"/>
          <w:lang w:val="en-IE"/>
        </w:rPr>
        <w:t xml:space="preserve">. </w:t>
      </w:r>
    </w:p>
    <w:p w14:paraId="47D612EB" w14:textId="77777777" w:rsidR="00433675" w:rsidRDefault="00433675" w:rsidP="00433675">
      <w:pPr>
        <w:numPr>
          <w:ilvl w:val="0"/>
          <w:numId w:val="25"/>
        </w:numPr>
        <w:pBdr>
          <w:top w:val="single" w:sz="4" w:space="1" w:color="auto"/>
          <w:left w:val="single" w:sz="4" w:space="4" w:color="auto"/>
          <w:bottom w:val="single" w:sz="4" w:space="17" w:color="auto"/>
          <w:right w:val="single" w:sz="4" w:space="4" w:color="auto"/>
        </w:pBdr>
        <w:spacing w:after="0"/>
        <w:contextualSpacing/>
        <w:rPr>
          <w:noProof/>
          <w:szCs w:val="24"/>
          <w:lang w:val="en-IE" w:eastAsia="en-GB"/>
        </w:rPr>
      </w:pPr>
      <w:r>
        <w:rPr>
          <w:bCs/>
          <w:noProof/>
          <w:szCs w:val="24"/>
          <w:lang w:val="en-IE" w:eastAsia="en-GB"/>
        </w:rPr>
        <w:t xml:space="preserve">There has been </w:t>
      </w:r>
      <w:r>
        <w:rPr>
          <w:noProof/>
          <w:szCs w:val="24"/>
          <w:lang w:val="en-IE" w:eastAsia="en-GB"/>
        </w:rPr>
        <w:t xml:space="preserve">no further progress on the pending legislative proposal on conflicts of interest while limited progress has been made in adopting comprehensive rules on lobbying to establish an operational lobbying register as a draft law on lobbying was adopted in the Chamber of Deputies and is being assessed by the Senate. </w:t>
      </w:r>
      <w:r>
        <w:rPr>
          <w:noProof/>
          <w:szCs w:val="24"/>
          <w:lang w:val="en-IE"/>
        </w:rPr>
        <w:t xml:space="preserve">Therefore, it is recommended to Italy to </w:t>
      </w:r>
      <w:r>
        <w:rPr>
          <w:i/>
          <w:noProof/>
          <w:szCs w:val="24"/>
          <w:lang w:val="en-IE"/>
        </w:rPr>
        <w:t>take forward legislative efforts to systematically regulate conflicts of interests and adopt comprehensive rules on lobbying and establish an operational lobbying register</w:t>
      </w:r>
      <w:r>
        <w:rPr>
          <w:noProof/>
          <w:szCs w:val="24"/>
          <w:lang w:val="en-IE" w:eastAsia="en-GB"/>
        </w:rPr>
        <w:t>.</w:t>
      </w:r>
    </w:p>
    <w:p w14:paraId="7AA0A001" w14:textId="77777777" w:rsidR="00433675" w:rsidRDefault="00433675" w:rsidP="00433675">
      <w:pPr>
        <w:numPr>
          <w:ilvl w:val="0"/>
          <w:numId w:val="25"/>
        </w:numPr>
        <w:pBdr>
          <w:top w:val="single" w:sz="4" w:space="1" w:color="auto"/>
          <w:left w:val="single" w:sz="4" w:space="4" w:color="auto"/>
          <w:bottom w:val="single" w:sz="4" w:space="17" w:color="auto"/>
          <w:right w:val="single" w:sz="4" w:space="4" w:color="auto"/>
        </w:pBdr>
        <w:spacing w:after="0"/>
        <w:contextualSpacing/>
        <w:rPr>
          <w:noProof/>
          <w:szCs w:val="22"/>
          <w:lang w:val="en-IE" w:eastAsia="en-GB"/>
        </w:rPr>
      </w:pPr>
      <w:r>
        <w:rPr>
          <w:noProof/>
          <w:lang w:val="en-IE" w:eastAsia="en-GB"/>
        </w:rPr>
        <w:t xml:space="preserve">There has been no progress to address the practice of channelling donations through political foundations and associations and introduce a single electronic register for party and campaign finance information, as the draft laws tabled in Parliament have not been discussed yet. Therefore, </w:t>
      </w:r>
      <w:r>
        <w:rPr>
          <w:noProof/>
          <w:szCs w:val="24"/>
          <w:lang w:val="en-IE"/>
        </w:rPr>
        <w:t>it is recommended to Italy to</w:t>
      </w:r>
      <w:r>
        <w:rPr>
          <w:noProof/>
          <w:lang w:val="en-IE" w:eastAsia="en-GB"/>
        </w:rPr>
        <w:t xml:space="preserve"> </w:t>
      </w:r>
      <w:r>
        <w:rPr>
          <w:i/>
          <w:noProof/>
          <w:lang w:val="en-IE" w:eastAsia="en-GB"/>
        </w:rPr>
        <w:t>accelerate efforts to address the practice of channelling donations through political foundations and associations and introduce a single electronic register for party and campaign finance information</w:t>
      </w:r>
      <w:r>
        <w:rPr>
          <w:noProof/>
          <w:lang w:val="en-IE" w:eastAsia="en-GB"/>
        </w:rPr>
        <w:t>.</w:t>
      </w:r>
    </w:p>
    <w:p w14:paraId="7F273002" w14:textId="77777777" w:rsidR="00433675" w:rsidRDefault="00433675" w:rsidP="00433675">
      <w:pPr>
        <w:numPr>
          <w:ilvl w:val="0"/>
          <w:numId w:val="25"/>
        </w:num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There has been no progress in the legislative process on the draft reform on defamation, the protection of professional secrecy and journalistic sources. Therefore, </w:t>
      </w:r>
      <w:r>
        <w:rPr>
          <w:noProof/>
          <w:szCs w:val="24"/>
          <w:lang w:val="en-IE"/>
        </w:rPr>
        <w:t xml:space="preserve">it is recommended to Italy to </w:t>
      </w:r>
      <w:r>
        <w:rPr>
          <w:i/>
          <w:noProof/>
          <w:szCs w:val="24"/>
          <w:lang w:val="en-IE"/>
        </w:rPr>
        <w:t xml:space="preserve">take forward the </w:t>
      </w:r>
      <w:r>
        <w:rPr>
          <w:i/>
          <w:noProof/>
          <w:lang w:val="en-IE" w:eastAsia="en-GB"/>
        </w:rPr>
        <w:t>reform on defamation while guaranteeing press freedom, taking into account European standards on the protection of journalists</w:t>
      </w:r>
      <w:r>
        <w:rPr>
          <w:noProof/>
          <w:lang w:val="en-IE" w:eastAsia="en-GB"/>
        </w:rPr>
        <w:t>.</w:t>
      </w:r>
    </w:p>
    <w:p w14:paraId="1D69C16D" w14:textId="77777777" w:rsidR="00433675" w:rsidRDefault="00433675" w:rsidP="00433675">
      <w:pPr>
        <w:numPr>
          <w:ilvl w:val="0"/>
          <w:numId w:val="25"/>
        </w:num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Limited progress has been made to establish a National Human Rights Institution, as initial steps were taken to relaunch the initiative while various draft laws remain pending in Parliament. Therefore, </w:t>
      </w:r>
      <w:r>
        <w:rPr>
          <w:noProof/>
          <w:szCs w:val="24"/>
          <w:lang w:val="en-IE"/>
        </w:rPr>
        <w:t xml:space="preserve">it is recommended to Italy to </w:t>
      </w:r>
      <w:r>
        <w:rPr>
          <w:i/>
          <w:noProof/>
          <w:lang w:val="en-IE" w:eastAsia="en-GB"/>
        </w:rPr>
        <w:t>establish a National Human Rights Institution taking into account the UN Paris Principles</w:t>
      </w:r>
      <w:r>
        <w:rPr>
          <w:noProof/>
          <w:lang w:val="en-IE" w:eastAsia="en-GB"/>
        </w:rPr>
        <w:t>.</w:t>
      </w:r>
    </w:p>
    <w:p w14:paraId="7D2E4072" w14:textId="77777777" w:rsidR="00433675" w:rsidRDefault="00433675" w:rsidP="00433675">
      <w:pPr>
        <w:pBdr>
          <w:top w:val="single" w:sz="4" w:space="1" w:color="auto"/>
          <w:left w:val="single" w:sz="4" w:space="4" w:color="auto"/>
          <w:bottom w:val="single" w:sz="4" w:space="17" w:color="auto"/>
          <w:right w:val="single" w:sz="4" w:space="4" w:color="auto"/>
        </w:pBdr>
        <w:contextualSpacing/>
        <w:rPr>
          <w:noProof/>
          <w:lang w:val="en-IE" w:eastAsia="en-GB"/>
        </w:rPr>
      </w:pPr>
    </w:p>
    <w:p w14:paraId="726B4B0C" w14:textId="77777777" w:rsidR="00433675" w:rsidRDefault="00433675" w:rsidP="00433675">
      <w:pPr>
        <w:pBdr>
          <w:top w:val="single" w:sz="4" w:space="1" w:color="auto"/>
          <w:left w:val="single" w:sz="4" w:space="4" w:color="auto"/>
          <w:bottom w:val="single" w:sz="4" w:space="17" w:color="auto"/>
          <w:right w:val="single" w:sz="4" w:space="4" w:color="auto"/>
        </w:pBdr>
        <w:contextualSpacing/>
        <w:rPr>
          <w:bCs/>
          <w:noProof/>
          <w:lang w:val="en-IE" w:eastAsia="en-GB"/>
        </w:rPr>
      </w:pPr>
      <w:r>
        <w:rPr>
          <w:bCs/>
          <w:noProof/>
          <w:lang w:val="en-IE" w:eastAsia="en-GB"/>
        </w:rPr>
        <w:t>As regards the other 2025 recommendations, the Commission concludes that:</w:t>
      </w:r>
    </w:p>
    <w:p w14:paraId="192B1275" w14:textId="77777777" w:rsidR="00433675" w:rsidRDefault="00433675" w:rsidP="00433675">
      <w:pPr>
        <w:pBdr>
          <w:top w:val="single" w:sz="4" w:space="1" w:color="auto"/>
          <w:left w:val="single" w:sz="4" w:space="4" w:color="auto"/>
          <w:bottom w:val="single" w:sz="4" w:space="17" w:color="auto"/>
          <w:right w:val="single" w:sz="4" w:space="4" w:color="auto"/>
        </w:pBdr>
        <w:contextualSpacing/>
        <w:rPr>
          <w:bCs/>
          <w:noProof/>
          <w:lang w:val="en-IE" w:eastAsia="en-GB"/>
        </w:rPr>
      </w:pPr>
    </w:p>
    <w:p w14:paraId="246FD92A" w14:textId="2D148FC6" w:rsidR="00433675" w:rsidRDefault="00433675" w:rsidP="00433675">
      <w:pPr>
        <w:numPr>
          <w:ilvl w:val="0"/>
          <w:numId w:val="25"/>
        </w:num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Some further progress was made to ensure that rules or mechanisms are in place to provide funding for public service media that is appropriate for the realisation of its public service remit and to guarantee its independence, as parliamentary work on a reform bill has advanced. </w:t>
      </w:r>
      <w:r>
        <w:rPr>
          <w:noProof/>
          <w:szCs w:val="24"/>
          <w:lang w:val="en-IE" w:eastAsia="en-GB"/>
        </w:rPr>
        <w:t>Given that the topics of this recommendation are covered by the provisions of the European Media Freedom Act (EMFA), while the Rule of Law Report will continue to monitor significant developments and report on their impact, further follow-up will be ensured as part of the Commission’s support to Member States and enforcement of the EMFA.</w:t>
      </w:r>
    </w:p>
    <w:p w14:paraId="702EED57" w14:textId="1E85F67C" w:rsidR="000301A1" w:rsidRDefault="00433675" w:rsidP="005A1040">
      <w:pPr>
        <w:spacing w:after="0"/>
        <w:jc w:val="left"/>
        <w:rPr>
          <w:noProof/>
          <w:lang w:eastAsia="en-GB"/>
        </w:rPr>
      </w:pPr>
      <w:r>
        <w:rPr>
          <w:noProof/>
          <w:lang w:eastAsia="en-GB"/>
        </w:rPr>
        <w:br w:type="page"/>
      </w:r>
    </w:p>
    <w:bookmarkEnd w:id="2"/>
    <w:p w14:paraId="11A8B2B2" w14:textId="4D8A00CA" w:rsidR="00490F94" w:rsidRPr="00490F94" w:rsidRDefault="00490F94" w:rsidP="00AB11EB">
      <w:pPr>
        <w:pStyle w:val="Heading1"/>
        <w:numPr>
          <w:ilvl w:val="0"/>
          <w:numId w:val="37"/>
        </w:numPr>
        <w:rPr>
          <w:noProof/>
          <w:u w:val="single"/>
        </w:rPr>
      </w:pPr>
      <w:r w:rsidRPr="00490F94">
        <w:rPr>
          <w:noProof/>
          <w:u w:val="single"/>
        </w:rPr>
        <w:t>Justice System</w:t>
      </w:r>
      <w:r w:rsidRPr="00490F94">
        <w:rPr>
          <w:bCs/>
          <w:noProof/>
          <w:u w:val="single"/>
          <w:vertAlign w:val="superscript"/>
        </w:rPr>
        <w:footnoteReference w:id="1"/>
      </w:r>
      <w:r w:rsidRPr="00490F94">
        <w:rPr>
          <w:bCs/>
          <w:noProof/>
          <w:u w:val="single"/>
        </w:rPr>
        <w:t xml:space="preserve"> </w:t>
      </w:r>
    </w:p>
    <w:p w14:paraId="0FDC2441" w14:textId="77777777" w:rsidR="00490F94" w:rsidRPr="00703B6E" w:rsidRDefault="00490F94" w:rsidP="00490F94">
      <w:pPr>
        <w:keepNext/>
        <w:outlineLvl w:val="1"/>
        <w:rPr>
          <w:b/>
          <w:noProof/>
          <w:szCs w:val="24"/>
          <w:lang w:eastAsia="en-GB"/>
        </w:rPr>
      </w:pPr>
      <w:r w:rsidRPr="00703B6E">
        <w:rPr>
          <w:b/>
          <w:noProof/>
          <w:szCs w:val="24"/>
          <w:lang w:eastAsia="en-GB"/>
        </w:rPr>
        <w:t xml:space="preserve">Independence </w:t>
      </w:r>
    </w:p>
    <w:p w14:paraId="0B679BAF" w14:textId="77777777" w:rsidR="00490F94" w:rsidRPr="0002081B" w:rsidRDefault="00490F94" w:rsidP="00490F94">
      <w:pPr>
        <w:rPr>
          <w:noProof/>
          <w:lang w:eastAsia="fr-FR"/>
        </w:rPr>
      </w:pPr>
      <w:r w:rsidRPr="71B3FCDD">
        <w:rPr>
          <w:rFonts w:eastAsia="Calibri"/>
          <w:b/>
          <w:bCs/>
          <w:noProof/>
        </w:rPr>
        <w:t xml:space="preserve">The level of perceived judicial independence in Italy </w:t>
      </w:r>
      <w:r w:rsidRPr="00510339">
        <w:rPr>
          <w:b/>
          <w:bCs/>
          <w:noProof/>
          <w:lang w:eastAsia="fr-FR"/>
        </w:rPr>
        <w:t>continues to be </w:t>
      </w:r>
      <w:r w:rsidRPr="71B3FCDD">
        <w:rPr>
          <w:rFonts w:eastAsia="Calibri"/>
          <w:b/>
          <w:bCs/>
          <w:noProof/>
        </w:rPr>
        <w:t xml:space="preserve">average among the general public and </w:t>
      </w:r>
      <w:r w:rsidRPr="00510339">
        <w:rPr>
          <w:b/>
          <w:bCs/>
          <w:noProof/>
          <w:lang w:eastAsia="fr-FR"/>
        </w:rPr>
        <w:t>is now high </w:t>
      </w:r>
      <w:r w:rsidRPr="71B3FCDD">
        <w:rPr>
          <w:rFonts w:eastAsia="Calibri"/>
          <w:b/>
          <w:bCs/>
          <w:noProof/>
        </w:rPr>
        <w:t>among companies</w:t>
      </w:r>
      <w:r w:rsidRPr="0002081B">
        <w:rPr>
          <w:rFonts w:eastAsia="Calibri"/>
          <w:noProof/>
        </w:rPr>
        <w:t xml:space="preserve">. Overall, </w:t>
      </w:r>
      <w:r>
        <w:rPr>
          <w:rFonts w:eastAsia="Calibri"/>
          <w:noProof/>
        </w:rPr>
        <w:t>51</w:t>
      </w:r>
      <w:r w:rsidRPr="0002081B">
        <w:rPr>
          <w:rFonts w:eastAsia="Calibri"/>
          <w:noProof/>
        </w:rPr>
        <w:t xml:space="preserve">% of the general population and </w:t>
      </w:r>
      <w:r>
        <w:rPr>
          <w:rFonts w:eastAsia="Calibri"/>
          <w:noProof/>
        </w:rPr>
        <w:t>60</w:t>
      </w:r>
      <w:r w:rsidRPr="0002081B">
        <w:rPr>
          <w:rFonts w:eastAsia="Calibri"/>
          <w:noProof/>
        </w:rPr>
        <w:t>% of companies perceive the level of independence of courts and judges to be ‘fairly or very good’ in 202</w:t>
      </w:r>
      <w:r>
        <w:rPr>
          <w:rFonts w:eastAsia="Calibri"/>
          <w:noProof/>
        </w:rPr>
        <w:t>6</w:t>
      </w:r>
      <w:r w:rsidRPr="00703B6E">
        <w:rPr>
          <w:noProof/>
          <w:vertAlign w:val="superscript"/>
        </w:rPr>
        <w:footnoteReference w:id="2"/>
      </w:r>
      <w:r w:rsidRPr="0002081B">
        <w:rPr>
          <w:rFonts w:eastAsia="Calibri"/>
          <w:noProof/>
        </w:rPr>
        <w:t xml:space="preserve">. </w:t>
      </w:r>
      <w:r w:rsidRPr="00510339">
        <w:rPr>
          <w:noProof/>
          <w:lang w:eastAsia="fr-FR"/>
        </w:rPr>
        <w:t>Among the general public, this figure has</w:t>
      </w:r>
      <w:r>
        <w:rPr>
          <w:noProof/>
          <w:lang w:eastAsia="fr-FR"/>
        </w:rPr>
        <w:t xml:space="preserve"> </w:t>
      </w:r>
      <w:r w:rsidRPr="00510339">
        <w:rPr>
          <w:noProof/>
          <w:lang w:eastAsia="fr-FR"/>
        </w:rPr>
        <w:t>increased</w:t>
      </w:r>
      <w:r>
        <w:rPr>
          <w:noProof/>
          <w:lang w:eastAsia="fr-FR"/>
        </w:rPr>
        <w:t xml:space="preserve"> </w:t>
      </w:r>
      <w:r w:rsidRPr="00510339">
        <w:rPr>
          <w:noProof/>
          <w:lang w:eastAsia="fr-FR"/>
        </w:rPr>
        <w:t>in comparison with 2025</w:t>
      </w:r>
      <w:r>
        <w:rPr>
          <w:noProof/>
          <w:lang w:eastAsia="fr-FR"/>
        </w:rPr>
        <w:t xml:space="preserve"> </w:t>
      </w:r>
      <w:r w:rsidRPr="00510339">
        <w:rPr>
          <w:noProof/>
          <w:lang w:eastAsia="fr-FR"/>
        </w:rPr>
        <w:t>(46%)</w:t>
      </w:r>
      <w:r>
        <w:rPr>
          <w:noProof/>
          <w:lang w:eastAsia="fr-FR"/>
        </w:rPr>
        <w:t xml:space="preserve"> </w:t>
      </w:r>
      <w:r w:rsidRPr="00510339">
        <w:rPr>
          <w:noProof/>
          <w:lang w:eastAsia="fr-FR"/>
        </w:rPr>
        <w:t>and has significantly increased</w:t>
      </w:r>
      <w:r>
        <w:rPr>
          <w:noProof/>
          <w:lang w:eastAsia="fr-FR"/>
        </w:rPr>
        <w:t xml:space="preserve"> </w:t>
      </w:r>
      <w:r w:rsidRPr="00510339">
        <w:rPr>
          <w:noProof/>
          <w:lang w:eastAsia="fr-FR"/>
        </w:rPr>
        <w:t>in comparison</w:t>
      </w:r>
      <w:r>
        <w:rPr>
          <w:noProof/>
          <w:lang w:eastAsia="fr-FR"/>
        </w:rPr>
        <w:t xml:space="preserve"> </w:t>
      </w:r>
      <w:r w:rsidRPr="00510339">
        <w:rPr>
          <w:noProof/>
          <w:lang w:eastAsia="fr-FR"/>
        </w:rPr>
        <w:t>with 2022</w:t>
      </w:r>
      <w:r>
        <w:rPr>
          <w:noProof/>
          <w:lang w:eastAsia="fr-FR"/>
        </w:rPr>
        <w:t xml:space="preserve"> </w:t>
      </w:r>
      <w:r w:rsidRPr="00510339">
        <w:rPr>
          <w:noProof/>
          <w:lang w:eastAsia="fr-FR"/>
        </w:rPr>
        <w:t>(37%). The perceived judicial independence among companies has</w:t>
      </w:r>
      <w:r>
        <w:rPr>
          <w:noProof/>
          <w:lang w:eastAsia="fr-FR"/>
        </w:rPr>
        <w:t xml:space="preserve"> </w:t>
      </w:r>
      <w:r w:rsidRPr="00510339">
        <w:rPr>
          <w:noProof/>
          <w:lang w:eastAsia="fr-FR"/>
        </w:rPr>
        <w:t>significantly</w:t>
      </w:r>
      <w:r>
        <w:rPr>
          <w:noProof/>
          <w:lang w:eastAsia="fr-FR"/>
        </w:rPr>
        <w:t xml:space="preserve"> </w:t>
      </w:r>
      <w:r w:rsidRPr="00510339">
        <w:rPr>
          <w:noProof/>
          <w:lang w:eastAsia="fr-FR"/>
        </w:rPr>
        <w:t>increased in comparison with 2025</w:t>
      </w:r>
      <w:r>
        <w:rPr>
          <w:noProof/>
          <w:lang w:eastAsia="fr-FR"/>
        </w:rPr>
        <w:t xml:space="preserve"> </w:t>
      </w:r>
      <w:r w:rsidRPr="00510339">
        <w:rPr>
          <w:noProof/>
          <w:lang w:eastAsia="fr-FR"/>
        </w:rPr>
        <w:t>(48%),</w:t>
      </w:r>
      <w:r>
        <w:rPr>
          <w:noProof/>
          <w:lang w:eastAsia="fr-FR"/>
        </w:rPr>
        <w:t xml:space="preserve"> </w:t>
      </w:r>
      <w:r w:rsidRPr="00510339">
        <w:rPr>
          <w:noProof/>
          <w:lang w:eastAsia="fr-FR"/>
        </w:rPr>
        <w:t>as well as</w:t>
      </w:r>
      <w:r>
        <w:rPr>
          <w:noProof/>
          <w:lang w:eastAsia="fr-FR"/>
        </w:rPr>
        <w:t xml:space="preserve"> </w:t>
      </w:r>
      <w:r w:rsidRPr="00510339">
        <w:rPr>
          <w:noProof/>
          <w:lang w:eastAsia="fr-FR"/>
        </w:rPr>
        <w:t>in comparison with 2022</w:t>
      </w:r>
      <w:r>
        <w:rPr>
          <w:noProof/>
          <w:lang w:eastAsia="fr-FR"/>
        </w:rPr>
        <w:t xml:space="preserve"> </w:t>
      </w:r>
      <w:r w:rsidRPr="00510339">
        <w:rPr>
          <w:noProof/>
          <w:lang w:eastAsia="fr-FR"/>
        </w:rPr>
        <w:t>(40%).</w:t>
      </w:r>
      <w:r w:rsidRPr="0002081B" w:rsidDel="00A44225">
        <w:rPr>
          <w:rFonts w:eastAsia="Calibri"/>
          <w:noProof/>
        </w:rPr>
        <w:t xml:space="preserve"> </w:t>
      </w:r>
    </w:p>
    <w:p w14:paraId="20CC3E0A" w14:textId="77777777" w:rsidR="00490F94" w:rsidRPr="00D547AD" w:rsidRDefault="00490F94" w:rsidP="00490F94">
      <w:pPr>
        <w:rPr>
          <w:noProof/>
          <w:color w:val="7030A0"/>
          <w:lang w:eastAsia="fr-FR"/>
        </w:rPr>
      </w:pPr>
      <w:bookmarkStart w:id="3" w:name="_Hlk222670639"/>
      <w:r w:rsidRPr="0C363D52">
        <w:rPr>
          <w:b/>
          <w:bCs/>
          <w:noProof/>
          <w:lang w:eastAsia="fr-FR"/>
        </w:rPr>
        <w:t>In the absence of majority support in a referendum, t</w:t>
      </w:r>
      <w:r w:rsidRPr="2263BBF1">
        <w:rPr>
          <w:b/>
          <w:bCs/>
          <w:noProof/>
          <w:lang w:eastAsia="fr-FR"/>
        </w:rPr>
        <w:t>he</w:t>
      </w:r>
      <w:r>
        <w:rPr>
          <w:b/>
          <w:bCs/>
          <w:noProof/>
          <w:lang w:eastAsia="fr-FR"/>
        </w:rPr>
        <w:t xml:space="preserve"> </w:t>
      </w:r>
      <w:r w:rsidRPr="2263BBF1">
        <w:rPr>
          <w:b/>
          <w:bCs/>
          <w:noProof/>
          <w:lang w:eastAsia="fr-FR"/>
        </w:rPr>
        <w:t xml:space="preserve">envisaged </w:t>
      </w:r>
      <w:r>
        <w:rPr>
          <w:b/>
          <w:bCs/>
          <w:noProof/>
          <w:lang w:eastAsia="fr-FR"/>
        </w:rPr>
        <w:t xml:space="preserve">constitutional reform separating careers of judges and prosecutors </w:t>
      </w:r>
      <w:r w:rsidRPr="0C363D52">
        <w:rPr>
          <w:b/>
          <w:bCs/>
          <w:noProof/>
          <w:lang w:eastAsia="fr-FR"/>
        </w:rPr>
        <w:t>did not materialise</w:t>
      </w:r>
      <w:bookmarkEnd w:id="3"/>
      <w:r>
        <w:rPr>
          <w:b/>
          <w:bCs/>
          <w:noProof/>
          <w:lang w:eastAsia="fr-FR"/>
        </w:rPr>
        <w:t>.</w:t>
      </w:r>
      <w:r w:rsidRPr="0C363D52">
        <w:rPr>
          <w:b/>
          <w:bCs/>
          <w:noProof/>
          <w:lang w:eastAsia="fr-FR"/>
        </w:rPr>
        <w:t xml:space="preserve"> </w:t>
      </w:r>
      <w:r w:rsidRPr="2263BBF1">
        <w:rPr>
          <w:noProof/>
          <w:lang w:eastAsia="fr-FR"/>
        </w:rPr>
        <w:t>On 30 October 2025, Parliament had give</w:t>
      </w:r>
      <w:r>
        <w:rPr>
          <w:noProof/>
          <w:lang w:eastAsia="fr-FR"/>
        </w:rPr>
        <w:t>n</w:t>
      </w:r>
      <w:r w:rsidRPr="2263BBF1">
        <w:rPr>
          <w:noProof/>
          <w:lang w:eastAsia="fr-FR"/>
        </w:rPr>
        <w:t xml:space="preserve"> final approval to the constitutional reform aimed at separating careers of judges and prosecutors, establishing two separate High Councils, one for judges and one for prosecutors, and creating a High Court to which the disciplinary powers over ordinary magistrates would be transferred from the High Council for the Judiciary</w:t>
      </w:r>
      <w:r w:rsidRPr="2263BBF1">
        <w:rPr>
          <w:noProof/>
          <w:vertAlign w:val="superscript"/>
          <w:lang w:eastAsia="fr-FR"/>
        </w:rPr>
        <w:footnoteReference w:id="3"/>
      </w:r>
      <w:r w:rsidRPr="2263BBF1">
        <w:rPr>
          <w:noProof/>
          <w:lang w:eastAsia="fr-FR"/>
        </w:rPr>
        <w:t xml:space="preserve">. In the absence of </w:t>
      </w:r>
      <w:r w:rsidRPr="00D547AD">
        <w:rPr>
          <w:noProof/>
          <w:lang w:eastAsia="fr-FR"/>
        </w:rPr>
        <w:t xml:space="preserve">a two-third majority support in Parliament, the reform was subject to a constitutional referendum, which took place on 22-23 March 2026. A majority </w:t>
      </w:r>
      <w:r w:rsidRPr="00D547AD" w:rsidDel="00D80F45">
        <w:rPr>
          <w:noProof/>
          <w:lang w:eastAsia="fr-FR"/>
        </w:rPr>
        <w:t>of voters</w:t>
      </w:r>
      <w:r w:rsidRPr="00D547AD">
        <w:rPr>
          <w:noProof/>
          <w:lang w:eastAsia="fr-FR"/>
        </w:rPr>
        <w:t xml:space="preserve"> voted against the proposed reform</w:t>
      </w:r>
      <w:bookmarkStart w:id="4" w:name="_Hlk224492766"/>
      <w:r w:rsidRPr="00D547AD">
        <w:rPr>
          <w:rFonts w:eastAsiaTheme="minorEastAsia"/>
          <w:noProof/>
        </w:rPr>
        <w:t xml:space="preserve">. </w:t>
      </w:r>
    </w:p>
    <w:bookmarkEnd w:id="4"/>
    <w:p w14:paraId="5674BCF7" w14:textId="55E2CA4E" w:rsidR="00490F94" w:rsidRPr="0002081B" w:rsidRDefault="00C77399" w:rsidP="00490F94">
      <w:pPr>
        <w:rPr>
          <w:noProof/>
          <w:lang w:eastAsia="fr-FR"/>
        </w:rPr>
      </w:pPr>
      <w:r>
        <w:rPr>
          <w:b/>
          <w:bCs/>
          <w:noProof/>
          <w:lang w:eastAsia="fr-FR"/>
        </w:rPr>
        <w:t>S</w:t>
      </w:r>
      <w:r w:rsidR="0039195B">
        <w:rPr>
          <w:b/>
          <w:bCs/>
          <w:noProof/>
          <w:lang w:eastAsia="fr-FR"/>
        </w:rPr>
        <w:t>ome s</w:t>
      </w:r>
      <w:r>
        <w:rPr>
          <w:b/>
          <w:bCs/>
          <w:noProof/>
          <w:lang w:eastAsia="fr-FR"/>
        </w:rPr>
        <w:t xml:space="preserve">takeholders continued </w:t>
      </w:r>
      <w:r w:rsidR="00BA515A">
        <w:rPr>
          <w:b/>
          <w:bCs/>
          <w:noProof/>
          <w:lang w:eastAsia="fr-FR"/>
        </w:rPr>
        <w:t xml:space="preserve">to </w:t>
      </w:r>
      <w:r>
        <w:rPr>
          <w:b/>
          <w:bCs/>
          <w:noProof/>
          <w:lang w:eastAsia="fr-FR"/>
        </w:rPr>
        <w:t>rais</w:t>
      </w:r>
      <w:r w:rsidR="00BA515A">
        <w:rPr>
          <w:b/>
          <w:bCs/>
          <w:noProof/>
          <w:lang w:eastAsia="fr-FR"/>
        </w:rPr>
        <w:t>e</w:t>
      </w:r>
      <w:r>
        <w:rPr>
          <w:b/>
          <w:bCs/>
          <w:noProof/>
          <w:lang w:eastAsia="fr-FR"/>
        </w:rPr>
        <w:t xml:space="preserve"> c</w:t>
      </w:r>
      <w:r w:rsidR="00490F94" w:rsidRPr="00D547AD">
        <w:rPr>
          <w:b/>
          <w:bCs/>
          <w:noProof/>
          <w:lang w:eastAsia="fr-FR"/>
        </w:rPr>
        <w:t xml:space="preserve">oncerns about </w:t>
      </w:r>
      <w:r w:rsidR="003B595B">
        <w:rPr>
          <w:b/>
          <w:bCs/>
          <w:noProof/>
          <w:lang w:eastAsia="fr-FR"/>
        </w:rPr>
        <w:t xml:space="preserve">public </w:t>
      </w:r>
      <w:r w:rsidR="00490F94" w:rsidRPr="00D547AD">
        <w:rPr>
          <w:b/>
          <w:bCs/>
          <w:noProof/>
          <w:lang w:eastAsia="fr-FR"/>
        </w:rPr>
        <w:t xml:space="preserve">statements by politicians </w:t>
      </w:r>
      <w:r>
        <w:rPr>
          <w:b/>
          <w:bCs/>
          <w:noProof/>
          <w:lang w:eastAsia="fr-FR"/>
        </w:rPr>
        <w:t>critical of</w:t>
      </w:r>
      <w:r w:rsidR="00490F94" w:rsidRPr="00D547AD">
        <w:rPr>
          <w:b/>
          <w:bCs/>
          <w:noProof/>
          <w:lang w:eastAsia="fr-FR"/>
        </w:rPr>
        <w:t xml:space="preserve"> the judiciary</w:t>
      </w:r>
      <w:r w:rsidR="00490F94" w:rsidRPr="00D547AD">
        <w:rPr>
          <w:noProof/>
          <w:lang w:eastAsia="fr-FR"/>
        </w:rPr>
        <w:t>. Stakeholders report that statements by Government officials and members of Parliament increased in number and intensity during the electoral campaign ahead of the constitutional referendum</w:t>
      </w:r>
      <w:r w:rsidR="00490F94" w:rsidRPr="00D547AD">
        <w:rPr>
          <w:noProof/>
          <w:vertAlign w:val="superscript"/>
          <w:lang w:eastAsia="fr-FR"/>
        </w:rPr>
        <w:footnoteReference w:id="4"/>
      </w:r>
      <w:r w:rsidR="00490F94">
        <w:rPr>
          <w:noProof/>
          <w:lang w:eastAsia="fr-FR"/>
        </w:rPr>
        <w:t xml:space="preserve">, </w:t>
      </w:r>
      <w:r w:rsidR="00490F94" w:rsidRPr="00D547AD">
        <w:rPr>
          <w:noProof/>
          <w:lang w:eastAsia="fr-FR"/>
        </w:rPr>
        <w:t xml:space="preserve">and the High Council of the Judiciary issued protective orders in </w:t>
      </w:r>
      <w:r w:rsidR="00E42293">
        <w:rPr>
          <w:noProof/>
          <w:lang w:eastAsia="fr-FR"/>
        </w:rPr>
        <w:t>three</w:t>
      </w:r>
      <w:r w:rsidR="00E42293" w:rsidRPr="00D547AD">
        <w:rPr>
          <w:noProof/>
          <w:lang w:eastAsia="fr-FR"/>
        </w:rPr>
        <w:t xml:space="preserve"> </w:t>
      </w:r>
      <w:r w:rsidR="00490F94" w:rsidRPr="00D547AD">
        <w:rPr>
          <w:noProof/>
          <w:lang w:eastAsia="fr-FR"/>
        </w:rPr>
        <w:t>cases</w:t>
      </w:r>
      <w:r w:rsidR="00490F94" w:rsidRPr="00D547AD">
        <w:rPr>
          <w:noProof/>
          <w:vertAlign w:val="superscript"/>
          <w:lang w:eastAsia="fr-FR"/>
        </w:rPr>
        <w:footnoteReference w:id="5"/>
      </w:r>
      <w:r w:rsidR="00490F94" w:rsidRPr="00D547AD">
        <w:rPr>
          <w:noProof/>
          <w:lang w:eastAsia="fr-FR"/>
        </w:rPr>
        <w:t xml:space="preserve">. </w:t>
      </w:r>
      <w:r w:rsidR="00ED5310" w:rsidRPr="00A833EB">
        <w:rPr>
          <w:noProof/>
          <w:lang w:eastAsia="fr-FR"/>
        </w:rPr>
        <w:t xml:space="preserve">Concerns were </w:t>
      </w:r>
      <w:r w:rsidR="00490F94" w:rsidRPr="00A833EB">
        <w:rPr>
          <w:noProof/>
          <w:lang w:eastAsia="fr-FR"/>
        </w:rPr>
        <w:t xml:space="preserve">expressed </w:t>
      </w:r>
      <w:r w:rsidR="00ED5310" w:rsidRPr="00F631A3">
        <w:rPr>
          <w:noProof/>
          <w:lang w:eastAsia="fr-FR"/>
        </w:rPr>
        <w:t xml:space="preserve">at the highest </w:t>
      </w:r>
      <w:r w:rsidR="00507B94" w:rsidRPr="00F631A3">
        <w:rPr>
          <w:noProof/>
          <w:lang w:eastAsia="fr-FR"/>
        </w:rPr>
        <w:t xml:space="preserve">institutional </w:t>
      </w:r>
      <w:r w:rsidR="00ED5310" w:rsidRPr="00F631A3">
        <w:rPr>
          <w:noProof/>
          <w:lang w:eastAsia="fr-FR"/>
        </w:rPr>
        <w:t xml:space="preserve">level </w:t>
      </w:r>
      <w:r w:rsidR="00490F94" w:rsidRPr="00F631A3">
        <w:rPr>
          <w:noProof/>
          <w:lang w:eastAsia="fr-FR"/>
        </w:rPr>
        <w:t>about such statements</w:t>
      </w:r>
      <w:r w:rsidR="00490F94" w:rsidRPr="004B35D7">
        <w:rPr>
          <w:noProof/>
          <w:vertAlign w:val="superscript"/>
          <w:lang w:eastAsia="fr-FR"/>
        </w:rPr>
        <w:footnoteReference w:id="6"/>
      </w:r>
      <w:r w:rsidR="00490F94" w:rsidRPr="004B35D7">
        <w:rPr>
          <w:noProof/>
          <w:lang w:eastAsia="fr-FR"/>
        </w:rPr>
        <w:t>. According to European standards,</w:t>
      </w:r>
      <w:r w:rsidR="00490F94" w:rsidRPr="00703B6E">
        <w:rPr>
          <w:noProof/>
          <w:lang w:eastAsia="fr-FR"/>
        </w:rPr>
        <w:t xml:space="preserve"> while criticising judicial decisions is a normal aspect of democratic discourse, the executive and legislative powers should avoid criticism that undermines the independence of or public confidence in the judiciary</w:t>
      </w:r>
      <w:r w:rsidR="00490F94" w:rsidRPr="00703B6E">
        <w:rPr>
          <w:noProof/>
          <w:vertAlign w:val="superscript"/>
          <w:lang w:eastAsia="fr-FR"/>
        </w:rPr>
        <w:footnoteReference w:id="7"/>
      </w:r>
      <w:r w:rsidR="00490F94" w:rsidRPr="02646C1E">
        <w:rPr>
          <w:noProof/>
          <w:lang w:eastAsia="fr-FR"/>
        </w:rPr>
        <w:t xml:space="preserve">. </w:t>
      </w:r>
    </w:p>
    <w:p w14:paraId="5782422F" w14:textId="77777777" w:rsidR="00490F94" w:rsidRPr="00703B6E" w:rsidRDefault="00490F94" w:rsidP="00490F94">
      <w:pPr>
        <w:rPr>
          <w:noProof/>
          <w:lang w:eastAsia="fr-FR"/>
        </w:rPr>
      </w:pPr>
      <w:bookmarkStart w:id="5" w:name="_Hlk222673165"/>
      <w:r>
        <w:rPr>
          <w:b/>
          <w:bCs/>
          <w:noProof/>
          <w:lang w:eastAsia="fr-FR"/>
        </w:rPr>
        <w:t>The government tabled</w:t>
      </w:r>
      <w:r w:rsidRPr="00D71250">
        <w:rPr>
          <w:b/>
          <w:bCs/>
          <w:noProof/>
          <w:lang w:eastAsia="fr-FR"/>
        </w:rPr>
        <w:t xml:space="preserve"> </w:t>
      </w:r>
      <w:r>
        <w:rPr>
          <w:b/>
          <w:bCs/>
          <w:noProof/>
          <w:lang w:eastAsia="fr-FR"/>
        </w:rPr>
        <w:t xml:space="preserve">in Parliament </w:t>
      </w:r>
      <w:r w:rsidRPr="00D71250">
        <w:rPr>
          <w:b/>
          <w:bCs/>
          <w:noProof/>
          <w:lang w:eastAsia="fr-FR"/>
        </w:rPr>
        <w:t>a draft law on the legal profession, prepared in cooperation with lawyers’ associations</w:t>
      </w:r>
      <w:r w:rsidRPr="0002081B">
        <w:rPr>
          <w:noProof/>
          <w:lang w:eastAsia="fr-FR"/>
        </w:rPr>
        <w:t>. In September 2025, the Ministry of Justice tabled in Parliament a draft law on the legal profession, prepared in cooperation with lawyers’ associations, to update rules on professional practice, law firms, access to the profession and training, as well as to strengthen transparency, client protection, and disciplinary mechanisms. The reform is under discussion in parliamentary committees</w:t>
      </w:r>
      <w:r w:rsidRPr="00703B6E">
        <w:rPr>
          <w:noProof/>
          <w:vertAlign w:val="superscript"/>
          <w:lang w:eastAsia="fr-FR"/>
        </w:rPr>
        <w:footnoteReference w:id="8"/>
      </w:r>
      <w:r w:rsidRPr="0002081B">
        <w:rPr>
          <w:noProof/>
          <w:lang w:eastAsia="fr-FR"/>
        </w:rPr>
        <w:t xml:space="preserve">. </w:t>
      </w:r>
      <w:bookmarkEnd w:id="5"/>
    </w:p>
    <w:p w14:paraId="3B31DD31" w14:textId="77777777" w:rsidR="00490F94" w:rsidRPr="00703B6E" w:rsidRDefault="00490F94" w:rsidP="00490F94">
      <w:pPr>
        <w:keepNext/>
        <w:outlineLvl w:val="1"/>
        <w:rPr>
          <w:b/>
          <w:noProof/>
          <w:szCs w:val="24"/>
          <w:lang w:eastAsia="en-GB"/>
        </w:rPr>
      </w:pPr>
      <w:r w:rsidRPr="00703B6E">
        <w:rPr>
          <w:b/>
          <w:noProof/>
          <w:szCs w:val="24"/>
          <w:lang w:eastAsia="en-GB"/>
        </w:rPr>
        <w:t xml:space="preserve">Quality </w:t>
      </w:r>
    </w:p>
    <w:p w14:paraId="02FF6BA8" w14:textId="68688F94" w:rsidR="00490F94" w:rsidRPr="00703B6E" w:rsidRDefault="00490F94" w:rsidP="00490F94">
      <w:pPr>
        <w:rPr>
          <w:noProof/>
          <w:lang w:eastAsia="fr-FR"/>
        </w:rPr>
      </w:pPr>
      <w:bookmarkStart w:id="6" w:name="_Hlk193874777"/>
      <w:r w:rsidRPr="277595C2">
        <w:rPr>
          <w:b/>
          <w:bCs/>
          <w:noProof/>
          <w:lang w:eastAsia="fr-FR"/>
        </w:rPr>
        <w:t xml:space="preserve">The recruitment of magistrates and administrative court staff continues at a good pace, with the aim of closing the persistent </w:t>
      </w:r>
      <w:bookmarkEnd w:id="6"/>
      <w:r w:rsidRPr="277595C2">
        <w:rPr>
          <w:b/>
          <w:bCs/>
          <w:noProof/>
          <w:lang w:eastAsia="fr-FR"/>
        </w:rPr>
        <w:t>shortages</w:t>
      </w:r>
      <w:r w:rsidRPr="0FF586BA">
        <w:rPr>
          <w:noProof/>
          <w:lang w:eastAsia="fr-FR"/>
        </w:rPr>
        <w:t xml:space="preserve">. </w:t>
      </w:r>
      <w:bookmarkStart w:id="7" w:name="_Hlk200979599"/>
      <w:r w:rsidRPr="0FF586BA">
        <w:rPr>
          <w:noProof/>
          <w:lang w:eastAsia="fr-FR"/>
        </w:rPr>
        <w:t>The Minister of Justice aims to achieve the full staffing of the judiciary (11</w:t>
      </w:r>
      <w:r>
        <w:rPr>
          <w:noProof/>
          <w:lang w:eastAsia="fr-FR"/>
        </w:rPr>
        <w:t> </w:t>
      </w:r>
      <w:r w:rsidRPr="0FF586BA">
        <w:rPr>
          <w:noProof/>
          <w:lang w:eastAsia="fr-FR"/>
        </w:rPr>
        <w:t>171 magistrates</w:t>
      </w:r>
      <w:r w:rsidRPr="0FF586BA">
        <w:rPr>
          <w:noProof/>
          <w:vertAlign w:val="superscript"/>
          <w:lang w:eastAsia="fr-FR"/>
        </w:rPr>
        <w:footnoteReference w:id="9"/>
      </w:r>
      <w:r w:rsidRPr="0FF586BA">
        <w:rPr>
          <w:noProof/>
          <w:lang w:eastAsia="fr-FR"/>
        </w:rPr>
        <w:t>) through five ongoing competitions for over 2</w:t>
      </w:r>
      <w:r>
        <w:rPr>
          <w:noProof/>
          <w:lang w:eastAsia="fr-FR"/>
        </w:rPr>
        <w:t> </w:t>
      </w:r>
      <w:r w:rsidRPr="0FF586BA">
        <w:rPr>
          <w:noProof/>
          <w:lang w:eastAsia="fr-FR"/>
        </w:rPr>
        <w:t>000 posts</w:t>
      </w:r>
      <w:r w:rsidRPr="0FF586BA">
        <w:rPr>
          <w:noProof/>
          <w:vertAlign w:val="superscript"/>
          <w:lang w:eastAsia="fr-FR"/>
        </w:rPr>
        <w:footnoteReference w:id="10"/>
      </w:r>
      <w:r w:rsidRPr="0FF586BA">
        <w:rPr>
          <w:noProof/>
          <w:lang w:eastAsia="fr-FR"/>
        </w:rPr>
        <w:t xml:space="preserve">. The extensive recruitment plan aims to close the significant shortages of ordinary magistrates, which remain </w:t>
      </w:r>
      <w:r>
        <w:rPr>
          <w:noProof/>
          <w:lang w:eastAsia="fr-FR"/>
        </w:rPr>
        <w:t xml:space="preserve">at </w:t>
      </w:r>
      <w:r w:rsidRPr="0FF586BA">
        <w:rPr>
          <w:noProof/>
          <w:lang w:eastAsia="fr-FR"/>
        </w:rPr>
        <w:t xml:space="preserve">around </w:t>
      </w:r>
      <w:r w:rsidRPr="007C4638">
        <w:rPr>
          <w:noProof/>
          <w:lang w:eastAsia="fr-FR"/>
        </w:rPr>
        <w:t>15-17%</w:t>
      </w:r>
      <w:r w:rsidRPr="007C4638">
        <w:rPr>
          <w:noProof/>
          <w:vertAlign w:val="superscript"/>
          <w:lang w:eastAsia="fr-FR"/>
        </w:rPr>
        <w:footnoteReference w:id="11"/>
      </w:r>
      <w:r w:rsidRPr="007C4638">
        <w:rPr>
          <w:noProof/>
          <w:lang w:eastAsia="fr-FR"/>
        </w:rPr>
        <w:t>.</w:t>
      </w:r>
      <w:r w:rsidRPr="0FF586BA">
        <w:rPr>
          <w:noProof/>
          <w:lang w:eastAsia="fr-FR"/>
        </w:rPr>
        <w:t xml:space="preserve"> At least </w:t>
      </w:r>
      <w:r w:rsidRPr="0002081B">
        <w:rPr>
          <w:noProof/>
        </w:rPr>
        <w:t>626 magistrates will reach pension age by 2029</w:t>
      </w:r>
      <w:r w:rsidRPr="0FF586BA">
        <w:rPr>
          <w:noProof/>
          <w:vertAlign w:val="superscript"/>
          <w:lang w:eastAsia="fr-FR"/>
        </w:rPr>
        <w:footnoteReference w:id="12"/>
      </w:r>
      <w:r w:rsidRPr="0FF586BA">
        <w:rPr>
          <w:noProof/>
          <w:lang w:eastAsia="fr-FR"/>
        </w:rPr>
        <w:t xml:space="preserve">. Among the administrative staff of ordinary courts, around one third of posts remain vacant. Competitions launched in 2024 </w:t>
      </w:r>
      <w:r w:rsidR="00AD7EC5">
        <w:rPr>
          <w:noProof/>
          <w:lang w:eastAsia="fr-FR"/>
        </w:rPr>
        <w:t xml:space="preserve">are </w:t>
      </w:r>
      <w:r w:rsidR="00B870C8">
        <w:rPr>
          <w:noProof/>
          <w:lang w:eastAsia="fr-FR"/>
        </w:rPr>
        <w:t>ongoing</w:t>
      </w:r>
      <w:r w:rsidRPr="0FF586BA">
        <w:rPr>
          <w:noProof/>
          <w:vertAlign w:val="superscript"/>
          <w:lang w:eastAsia="fr-FR"/>
        </w:rPr>
        <w:footnoteReference w:id="13"/>
      </w:r>
      <w:r w:rsidRPr="0FF586BA">
        <w:rPr>
          <w:noProof/>
          <w:lang w:eastAsia="fr-FR"/>
        </w:rPr>
        <w:t>. The staffing situation in different courts varies. With the exception of the Constitutional Court, which is fully staffed, other courts reported significant shortages of judicial and administrative staff</w:t>
      </w:r>
      <w:r w:rsidRPr="0FF586BA">
        <w:rPr>
          <w:noProof/>
          <w:vertAlign w:val="superscript"/>
          <w:lang w:eastAsia="fr-FR"/>
        </w:rPr>
        <w:footnoteReference w:id="14"/>
      </w:r>
      <w:r w:rsidRPr="0FF586BA">
        <w:rPr>
          <w:noProof/>
          <w:lang w:eastAsia="fr-FR"/>
        </w:rPr>
        <w:t>. The situation is of particular concern at the Court of Cassation, with 38% of vacant administrative posts</w:t>
      </w:r>
      <w:r w:rsidRPr="0FF586BA">
        <w:rPr>
          <w:noProof/>
          <w:vertAlign w:val="superscript"/>
          <w:lang w:eastAsia="fr-FR"/>
        </w:rPr>
        <w:footnoteReference w:id="15"/>
      </w:r>
      <w:r w:rsidRPr="0FF586BA">
        <w:rPr>
          <w:noProof/>
          <w:lang w:eastAsia="fr-FR"/>
        </w:rPr>
        <w:t>, as well as for justices of the peace and</w:t>
      </w:r>
      <w:r w:rsidRPr="277595C2">
        <w:rPr>
          <w:b/>
          <w:bCs/>
          <w:noProof/>
          <w:lang w:eastAsia="fr-FR"/>
        </w:rPr>
        <w:t xml:space="preserve"> </w:t>
      </w:r>
      <w:r w:rsidRPr="0FF586BA">
        <w:rPr>
          <w:noProof/>
          <w:lang w:eastAsia="fr-FR"/>
        </w:rPr>
        <w:t xml:space="preserve">honorary judges </w:t>
      </w:r>
      <w:r w:rsidRPr="00D547AD">
        <w:rPr>
          <w:noProof/>
          <w:lang w:eastAsia="fr-FR"/>
        </w:rPr>
        <w:t>who face a 17% shortage against an expected increase in workload given new competences</w:t>
      </w:r>
      <w:r w:rsidRPr="00D547AD">
        <w:rPr>
          <w:noProof/>
          <w:vertAlign w:val="superscript"/>
          <w:lang w:eastAsia="fr-FR"/>
        </w:rPr>
        <w:footnoteReference w:id="16"/>
      </w:r>
      <w:r w:rsidRPr="00D547AD">
        <w:rPr>
          <w:noProof/>
          <w:lang w:eastAsia="fr-FR"/>
        </w:rPr>
        <w:t>. The sustainability of the results achieved in addressing the backlog of tax cases needs to be monitored</w:t>
      </w:r>
      <w:r w:rsidR="00997CDE">
        <w:rPr>
          <w:noProof/>
          <w:lang w:eastAsia="fr-FR"/>
        </w:rPr>
        <w:t>.</w:t>
      </w:r>
      <w:r w:rsidR="00997CDE" w:rsidRPr="00997CDE">
        <w:rPr>
          <w:noProof/>
          <w:lang w:eastAsia="fr-FR"/>
        </w:rPr>
        <w:t xml:space="preserve"> </w:t>
      </w:r>
      <w:r w:rsidR="00997CDE" w:rsidRPr="0002081B">
        <w:rPr>
          <w:noProof/>
          <w:lang w:eastAsia="fr-FR"/>
        </w:rPr>
        <w:t xml:space="preserve">The first </w:t>
      </w:r>
      <w:r w:rsidR="00997CDE" w:rsidRPr="00BD5769">
        <w:rPr>
          <w:noProof/>
        </w:rPr>
        <w:t>competition</w:t>
      </w:r>
      <w:r w:rsidR="00997CDE" w:rsidRPr="0002081B">
        <w:rPr>
          <w:noProof/>
          <w:lang w:eastAsia="fr-FR"/>
        </w:rPr>
        <w:t xml:space="preserve"> for professional tax judges </w:t>
      </w:r>
      <w:r w:rsidR="00997CDE">
        <w:rPr>
          <w:noProof/>
          <w:lang w:eastAsia="fr-FR"/>
        </w:rPr>
        <w:t>was concluded in May 2026</w:t>
      </w:r>
      <w:r w:rsidR="00997CDE" w:rsidRPr="0002081B">
        <w:rPr>
          <w:noProof/>
          <w:lang w:eastAsia="fr-FR"/>
        </w:rPr>
        <w:t>, and</w:t>
      </w:r>
      <w:r w:rsidR="00997CDE">
        <w:rPr>
          <w:noProof/>
          <w:lang w:eastAsia="fr-FR"/>
        </w:rPr>
        <w:t xml:space="preserve"> </w:t>
      </w:r>
      <w:r w:rsidR="00997CDE" w:rsidRPr="006B40D0">
        <w:rPr>
          <w:noProof/>
        </w:rPr>
        <w:t>173</w:t>
      </w:r>
      <w:r w:rsidR="00997CDE">
        <w:rPr>
          <w:noProof/>
        </w:rPr>
        <w:t xml:space="preserve"> tax judges </w:t>
      </w:r>
      <w:r w:rsidR="00997CDE" w:rsidRPr="006B40D0">
        <w:rPr>
          <w:noProof/>
        </w:rPr>
        <w:t>have begun their training programme and will shortly take up their judicial functions</w:t>
      </w:r>
      <w:r w:rsidR="00997CDE">
        <w:rPr>
          <w:noProof/>
        </w:rPr>
        <w:t>, while</w:t>
      </w:r>
      <w:r w:rsidR="00997CDE">
        <w:rPr>
          <w:noProof/>
          <w:lang w:eastAsia="fr-FR"/>
        </w:rPr>
        <w:t xml:space="preserve"> two</w:t>
      </w:r>
      <w:r w:rsidR="00997CDE" w:rsidRPr="0002081B">
        <w:rPr>
          <w:noProof/>
          <w:lang w:eastAsia="fr-FR"/>
        </w:rPr>
        <w:t xml:space="preserve"> more</w:t>
      </w:r>
      <w:r w:rsidR="00997CDE">
        <w:rPr>
          <w:noProof/>
          <w:lang w:eastAsia="fr-FR"/>
        </w:rPr>
        <w:t xml:space="preserve"> competitions</w:t>
      </w:r>
      <w:r w:rsidR="00997CDE" w:rsidRPr="0002081B">
        <w:rPr>
          <w:noProof/>
          <w:lang w:eastAsia="fr-FR"/>
        </w:rPr>
        <w:t xml:space="preserve"> are planned</w:t>
      </w:r>
      <w:r w:rsidR="00997CDE">
        <w:rPr>
          <w:noProof/>
          <w:lang w:eastAsia="fr-FR"/>
        </w:rPr>
        <w:t>. At the same time</w:t>
      </w:r>
      <w:r w:rsidR="00997CDE" w:rsidRPr="0002081B">
        <w:rPr>
          <w:noProof/>
          <w:lang w:eastAsia="fr-FR"/>
        </w:rPr>
        <w:t xml:space="preserve">, </w:t>
      </w:r>
      <w:r w:rsidR="00997CDE" w:rsidRPr="0002081B">
        <w:rPr>
          <w:bCs/>
          <w:noProof/>
          <w:lang w:eastAsia="fr-FR"/>
        </w:rPr>
        <w:t>the final number</w:t>
      </w:r>
      <w:r w:rsidR="00997CDE">
        <w:rPr>
          <w:bCs/>
          <w:noProof/>
          <w:lang w:eastAsia="fr-FR"/>
        </w:rPr>
        <w:t xml:space="preserve"> of professional tax judges</w:t>
      </w:r>
      <w:r w:rsidR="00997CDE" w:rsidRPr="0002081B">
        <w:rPr>
          <w:bCs/>
          <w:noProof/>
          <w:lang w:eastAsia="fr-FR"/>
        </w:rPr>
        <w:t xml:space="preserve"> (some </w:t>
      </w:r>
      <w:r w:rsidR="00997CDE">
        <w:rPr>
          <w:noProof/>
          <w:lang w:eastAsia="fr-FR"/>
        </w:rPr>
        <w:t>576</w:t>
      </w:r>
      <w:r w:rsidR="00997CDE" w:rsidRPr="0002081B">
        <w:rPr>
          <w:bCs/>
          <w:noProof/>
          <w:lang w:eastAsia="fr-FR"/>
        </w:rPr>
        <w:t xml:space="preserve">) will be </w:t>
      </w:r>
      <w:r w:rsidR="00997CDE">
        <w:rPr>
          <w:bCs/>
          <w:noProof/>
          <w:lang w:eastAsia="fr-FR"/>
        </w:rPr>
        <w:t>just over</w:t>
      </w:r>
      <w:r w:rsidR="00997CDE" w:rsidRPr="0002081B">
        <w:rPr>
          <w:bCs/>
          <w:noProof/>
          <w:lang w:eastAsia="fr-FR"/>
        </w:rPr>
        <w:t xml:space="preserve"> a fourth of the current </w:t>
      </w:r>
      <w:r w:rsidR="00997CDE">
        <w:rPr>
          <w:bCs/>
          <w:noProof/>
          <w:lang w:eastAsia="fr-FR"/>
        </w:rPr>
        <w:t>1 966</w:t>
      </w:r>
      <w:r w:rsidR="00997CDE" w:rsidRPr="0002081B">
        <w:rPr>
          <w:bCs/>
          <w:noProof/>
          <w:lang w:eastAsia="fr-FR"/>
        </w:rPr>
        <w:t xml:space="preserve"> honorary tax judges</w:t>
      </w:r>
      <w:r w:rsidRPr="00D547AD">
        <w:rPr>
          <w:noProof/>
          <w:vertAlign w:val="superscript"/>
          <w:lang w:eastAsia="fr-FR"/>
        </w:rPr>
        <w:footnoteReference w:id="17"/>
      </w:r>
      <w:r w:rsidRPr="00D547AD">
        <w:rPr>
          <w:noProof/>
          <w:lang w:eastAsia="fr-FR"/>
        </w:rPr>
        <w:t>. The honorary status and insufficient salary of the vast majority of tax judges is a source of con</w:t>
      </w:r>
      <w:r w:rsidRPr="0FF586BA">
        <w:rPr>
          <w:noProof/>
          <w:lang w:eastAsia="fr-FR"/>
        </w:rPr>
        <w:t>tention</w:t>
      </w:r>
      <w:r w:rsidRPr="0FF586BA">
        <w:rPr>
          <w:noProof/>
          <w:vertAlign w:val="superscript"/>
          <w:lang w:eastAsia="fr-FR"/>
        </w:rPr>
        <w:footnoteReference w:id="18"/>
      </w:r>
      <w:r w:rsidRPr="0FF586BA">
        <w:rPr>
          <w:noProof/>
          <w:lang w:eastAsia="fr-FR"/>
        </w:rPr>
        <w:t>. While acknowledging the progress made, stakeholders concur that continued efforts to fill judicial and administrative vacancies in the courts are necessary to improve the efficiency of justice</w:t>
      </w:r>
      <w:r w:rsidRPr="0FF586BA">
        <w:rPr>
          <w:noProof/>
          <w:vertAlign w:val="superscript"/>
          <w:lang w:eastAsia="fr-FR"/>
        </w:rPr>
        <w:footnoteReference w:id="19"/>
      </w:r>
      <w:r w:rsidRPr="0002081B">
        <w:rPr>
          <w:noProof/>
          <w:lang w:eastAsia="fr-FR"/>
        </w:rPr>
        <w:t>.</w:t>
      </w:r>
      <w:r w:rsidRPr="0FF586BA">
        <w:rPr>
          <w:noProof/>
          <w:lang w:eastAsia="fr-FR"/>
        </w:rPr>
        <w:t xml:space="preserve"> </w:t>
      </w:r>
    </w:p>
    <w:bookmarkEnd w:id="7"/>
    <w:p w14:paraId="1BD1D11E" w14:textId="04F35B02" w:rsidR="00490F94" w:rsidRPr="0002081B" w:rsidRDefault="00490F94" w:rsidP="00490F94">
      <w:pPr>
        <w:rPr>
          <w:noProof/>
          <w:lang w:eastAsia="fr-FR"/>
        </w:rPr>
      </w:pPr>
      <w:r w:rsidRPr="0002081B">
        <w:rPr>
          <w:b/>
          <w:bCs/>
          <w:noProof/>
          <w:lang w:eastAsia="fr-FR"/>
        </w:rPr>
        <w:t>The Government has launched competitions for the permanent recruitment of most court clerks</w:t>
      </w:r>
      <w:r w:rsidRPr="0002081B">
        <w:rPr>
          <w:noProof/>
          <w:lang w:eastAsia="fr-FR"/>
        </w:rPr>
        <w:t xml:space="preserve"> </w:t>
      </w:r>
      <w:r w:rsidRPr="0002081B">
        <w:rPr>
          <w:b/>
          <w:bCs/>
          <w:noProof/>
          <w:lang w:eastAsia="fr-FR"/>
        </w:rPr>
        <w:t>funded as part of the Recovery and Resilience Plan (RRP).</w:t>
      </w:r>
      <w:r w:rsidRPr="71B3FCDD">
        <w:rPr>
          <w:b/>
          <w:bCs/>
          <w:noProof/>
          <w:lang w:eastAsia="fr-FR"/>
        </w:rPr>
        <w:t xml:space="preserve"> </w:t>
      </w:r>
      <w:r w:rsidRPr="00703B6E">
        <w:rPr>
          <w:noProof/>
          <w:lang w:eastAsia="fr-FR"/>
        </w:rPr>
        <w:t xml:space="preserve">Recognising their contribution to improving the productivity of ordinary and administrative courts (clerks help magistrates manage cases, prepare hearings, draft judgements and digitalise proceedings), the Government </w:t>
      </w:r>
      <w:r w:rsidRPr="0002081B">
        <w:rPr>
          <w:noProof/>
        </w:rPr>
        <w:t>committed</w:t>
      </w:r>
      <w:r w:rsidRPr="00703B6E">
        <w:rPr>
          <w:noProof/>
          <w:lang w:eastAsia="fr-FR"/>
        </w:rPr>
        <w:t xml:space="preserve"> to recruit</w:t>
      </w:r>
      <w:r w:rsidRPr="0002081B">
        <w:rPr>
          <w:noProof/>
          <w:lang w:eastAsia="fr-FR"/>
        </w:rPr>
        <w:t xml:space="preserve">, upon competitive evaluation, 9 368 court clerks, i.e. over 80% of the some </w:t>
      </w:r>
      <w:r w:rsidRPr="00D71250">
        <w:rPr>
          <w:noProof/>
          <w:lang w:eastAsia="fr-FR"/>
        </w:rPr>
        <w:t>11 200</w:t>
      </w:r>
      <w:r w:rsidRPr="0002081B">
        <w:rPr>
          <w:noProof/>
          <w:lang w:eastAsia="fr-FR"/>
        </w:rPr>
        <w:t xml:space="preserve"> </w:t>
      </w:r>
      <w:r w:rsidRPr="71B3FCDD">
        <w:rPr>
          <w:i/>
          <w:iCs/>
          <w:noProof/>
          <w:lang w:eastAsia="fr-FR"/>
        </w:rPr>
        <w:t>addetti all’ufficio per il processo</w:t>
      </w:r>
      <w:r w:rsidRPr="0002081B">
        <w:rPr>
          <w:noProof/>
          <w:lang w:eastAsia="fr-FR"/>
        </w:rPr>
        <w:t xml:space="preserve"> (AUPP) and administrative personnel still in service by</w:t>
      </w:r>
      <w:r w:rsidRPr="00703B6E">
        <w:rPr>
          <w:noProof/>
          <w:lang w:eastAsia="fr-FR"/>
        </w:rPr>
        <w:t xml:space="preserve"> the end of the RRP funding</w:t>
      </w:r>
      <w:r w:rsidRPr="0002081B">
        <w:rPr>
          <w:noProof/>
          <w:lang w:eastAsia="fr-FR"/>
        </w:rPr>
        <w:t xml:space="preserve"> in June 2026</w:t>
      </w:r>
      <w:r w:rsidRPr="00703B6E">
        <w:rPr>
          <w:noProof/>
          <w:vertAlign w:val="superscript"/>
          <w:lang w:eastAsia="fr-FR"/>
        </w:rPr>
        <w:footnoteReference w:id="20"/>
      </w:r>
      <w:r w:rsidRPr="00703B6E">
        <w:rPr>
          <w:noProof/>
          <w:lang w:eastAsia="fr-FR"/>
        </w:rPr>
        <w:t xml:space="preserve">. </w:t>
      </w:r>
      <w:r w:rsidRPr="0002081B">
        <w:rPr>
          <w:noProof/>
          <w:lang w:eastAsia="fr-FR"/>
        </w:rPr>
        <w:t>Authorities and most s</w:t>
      </w:r>
      <w:r w:rsidRPr="00703B6E">
        <w:rPr>
          <w:noProof/>
          <w:lang w:eastAsia="fr-FR"/>
        </w:rPr>
        <w:t>takeholders agree</w:t>
      </w:r>
      <w:r w:rsidRPr="00703B6E" w:rsidDel="00F13EEA">
        <w:rPr>
          <w:noProof/>
          <w:lang w:eastAsia="fr-FR"/>
        </w:rPr>
        <w:t xml:space="preserve"> </w:t>
      </w:r>
      <w:r w:rsidRPr="00703B6E">
        <w:rPr>
          <w:noProof/>
          <w:lang w:eastAsia="fr-FR"/>
        </w:rPr>
        <w:t xml:space="preserve">that the clerks </w:t>
      </w:r>
      <w:r w:rsidRPr="0002081B">
        <w:rPr>
          <w:noProof/>
          <w:lang w:eastAsia="fr-FR"/>
        </w:rPr>
        <w:t>play a key role in</w:t>
      </w:r>
      <w:r w:rsidRPr="00703B6E">
        <w:rPr>
          <w:noProof/>
          <w:lang w:eastAsia="fr-FR"/>
        </w:rPr>
        <w:t xml:space="preserve"> increas</w:t>
      </w:r>
      <w:r w:rsidRPr="0002081B">
        <w:rPr>
          <w:noProof/>
          <w:lang w:eastAsia="fr-FR"/>
        </w:rPr>
        <w:t>ing the</w:t>
      </w:r>
      <w:r w:rsidRPr="00703B6E">
        <w:rPr>
          <w:noProof/>
          <w:lang w:eastAsia="fr-FR"/>
        </w:rPr>
        <w:t xml:space="preserve"> efficiency and quality of the justice system, effectively contributing to the reduction of </w:t>
      </w:r>
      <w:r w:rsidRPr="0002081B">
        <w:rPr>
          <w:noProof/>
          <w:lang w:eastAsia="fr-FR"/>
        </w:rPr>
        <w:t xml:space="preserve">backlog and of </w:t>
      </w:r>
      <w:r w:rsidRPr="00703B6E">
        <w:rPr>
          <w:noProof/>
          <w:lang w:eastAsia="fr-FR"/>
        </w:rPr>
        <w:t>the length of proceedings</w:t>
      </w:r>
      <w:r w:rsidRPr="0002081B">
        <w:rPr>
          <w:noProof/>
          <w:lang w:eastAsia="fr-FR"/>
        </w:rPr>
        <w:t>. Some stakeholders have called for court clerks to maintain judicial and legal advice functions, as during the four years of RRP funding, and not merely administrative tasks, in their new permanent posts within the court administration</w:t>
      </w:r>
      <w:r w:rsidRPr="00703B6E">
        <w:rPr>
          <w:noProof/>
          <w:vertAlign w:val="superscript"/>
          <w:lang w:eastAsia="fr-FR"/>
        </w:rPr>
        <w:footnoteReference w:id="21"/>
      </w:r>
      <w:r w:rsidRPr="0002081B">
        <w:rPr>
          <w:noProof/>
          <w:lang w:eastAsia="fr-FR"/>
        </w:rPr>
        <w:t xml:space="preserve">. </w:t>
      </w:r>
      <w:r w:rsidR="00386D51">
        <w:rPr>
          <w:noProof/>
        </w:rPr>
        <w:t>T</w:t>
      </w:r>
      <w:r w:rsidR="00386D51" w:rsidRPr="002B3B0A">
        <w:rPr>
          <w:noProof/>
        </w:rPr>
        <w:t xml:space="preserve">he decree-law </w:t>
      </w:r>
      <w:r w:rsidR="00386D51">
        <w:rPr>
          <w:noProof/>
        </w:rPr>
        <w:t>of</w:t>
      </w:r>
      <w:r w:rsidR="00386D51" w:rsidRPr="002B3B0A">
        <w:rPr>
          <w:noProof/>
        </w:rPr>
        <w:t xml:space="preserve"> 4 June 202</w:t>
      </w:r>
      <w:r w:rsidR="00386D51">
        <w:rPr>
          <w:noProof/>
        </w:rPr>
        <w:t>6</w:t>
      </w:r>
      <w:r w:rsidR="00386D51" w:rsidRPr="002B3B0A">
        <w:rPr>
          <w:noProof/>
        </w:rPr>
        <w:t xml:space="preserve"> expand</w:t>
      </w:r>
      <w:r w:rsidR="00386D51">
        <w:rPr>
          <w:noProof/>
        </w:rPr>
        <w:t>ed</w:t>
      </w:r>
      <w:r w:rsidR="00386D51" w:rsidRPr="002B3B0A">
        <w:rPr>
          <w:noProof/>
        </w:rPr>
        <w:t xml:space="preserve"> the functions of </w:t>
      </w:r>
      <w:r w:rsidR="00386D51">
        <w:rPr>
          <w:noProof/>
        </w:rPr>
        <w:t>AUPP</w:t>
      </w:r>
      <w:r w:rsidR="00386D51" w:rsidRPr="002B3B0A">
        <w:rPr>
          <w:noProof/>
        </w:rPr>
        <w:t xml:space="preserve"> staff and extend</w:t>
      </w:r>
      <w:r w:rsidR="00386D51">
        <w:rPr>
          <w:noProof/>
        </w:rPr>
        <w:t>ed</w:t>
      </w:r>
      <w:r w:rsidR="00386D51" w:rsidRPr="002B3B0A">
        <w:rPr>
          <w:noProof/>
        </w:rPr>
        <w:t xml:space="preserve"> their deployment to the Juvenile Courts, the Surveillance Courts and the Surveillance Offices. </w:t>
      </w:r>
      <w:r w:rsidR="00386D51">
        <w:rPr>
          <w:noProof/>
        </w:rPr>
        <w:t>The d</w:t>
      </w:r>
      <w:r w:rsidR="00386D51" w:rsidRPr="002B3B0A">
        <w:rPr>
          <w:noProof/>
        </w:rPr>
        <w:t xml:space="preserve">ecree-law </w:t>
      </w:r>
      <w:r w:rsidR="00386D51">
        <w:rPr>
          <w:noProof/>
        </w:rPr>
        <w:t>also</w:t>
      </w:r>
      <w:r w:rsidR="00386D51" w:rsidRPr="002B3B0A">
        <w:rPr>
          <w:noProof/>
        </w:rPr>
        <w:t xml:space="preserve"> provides that </w:t>
      </w:r>
      <w:r w:rsidR="00386D51">
        <w:rPr>
          <w:noProof/>
        </w:rPr>
        <w:t>AUPP</w:t>
      </w:r>
      <w:r w:rsidR="00386D51" w:rsidRPr="002B3B0A">
        <w:rPr>
          <w:noProof/>
        </w:rPr>
        <w:t xml:space="preserve"> staff shall, as a general rule, be assigned to activities supporting judicial functions, save in cases of duly substantiated and urgent necessity</w:t>
      </w:r>
      <w:r w:rsidR="00386D51">
        <w:rPr>
          <w:noProof/>
        </w:rPr>
        <w:t>.</w:t>
      </w:r>
    </w:p>
    <w:p w14:paraId="5B503182" w14:textId="56324AF0" w:rsidR="00490F94" w:rsidRPr="0002081B" w:rsidRDefault="00490F94" w:rsidP="00490F94">
      <w:pPr>
        <w:rPr>
          <w:noProof/>
          <w:lang w:val="en-IE" w:eastAsia="fr-FR"/>
        </w:rPr>
      </w:pPr>
      <w:r w:rsidRPr="71B3FCDD">
        <w:rPr>
          <w:b/>
          <w:bCs/>
          <w:noProof/>
          <w:lang w:val="en-IE" w:eastAsia="fr-FR"/>
        </w:rPr>
        <w:t xml:space="preserve">There has been </w:t>
      </w:r>
      <w:r w:rsidRPr="00C618DF">
        <w:rPr>
          <w:b/>
          <w:noProof/>
          <w:lang w:val="en-IE" w:eastAsia="fr-FR"/>
        </w:rPr>
        <w:t>significant</w:t>
      </w:r>
      <w:r w:rsidRPr="71B3FCDD">
        <w:rPr>
          <w:b/>
          <w:bCs/>
          <w:noProof/>
          <w:lang w:val="en-IE" w:eastAsia="fr-FR"/>
        </w:rPr>
        <w:t xml:space="preserve"> further progress on the recommendation to complete the digital case management system for criminal courts and prosecutors’ offices</w:t>
      </w:r>
      <w:r w:rsidRPr="007C4638">
        <w:rPr>
          <w:noProof/>
          <w:vertAlign w:val="superscript"/>
          <w:lang w:val="en-IE" w:eastAsia="fr-FR"/>
        </w:rPr>
        <w:footnoteReference w:id="22"/>
      </w:r>
      <w:r w:rsidRPr="006736C8">
        <w:rPr>
          <w:noProof/>
          <w:lang w:val="en-IE" w:eastAsia="fr-FR"/>
        </w:rPr>
        <w:t xml:space="preserve">. </w:t>
      </w:r>
      <w:r>
        <w:rPr>
          <w:noProof/>
          <w:lang w:val="en-IE" w:eastAsia="fr-FR"/>
        </w:rPr>
        <w:t>Italy’s</w:t>
      </w:r>
      <w:r w:rsidRPr="0FF586BA">
        <w:rPr>
          <w:noProof/>
          <w:lang w:val="en-IE" w:eastAsia="fr-FR"/>
        </w:rPr>
        <w:t xml:space="preserve"> civil, administrative</w:t>
      </w:r>
      <w:r w:rsidRPr="0002081B">
        <w:rPr>
          <w:noProof/>
          <w:lang w:val="en-IE" w:eastAsia="fr-FR"/>
        </w:rPr>
        <w:t>,</w:t>
      </w:r>
      <w:r w:rsidRPr="0FF586BA">
        <w:rPr>
          <w:noProof/>
          <w:lang w:val="en-IE" w:eastAsia="fr-FR"/>
        </w:rPr>
        <w:t xml:space="preserve"> </w:t>
      </w:r>
      <w:r w:rsidRPr="0002081B">
        <w:rPr>
          <w:noProof/>
          <w:lang w:val="en-IE" w:eastAsia="fr-FR"/>
        </w:rPr>
        <w:t xml:space="preserve">tax, </w:t>
      </w:r>
      <w:r w:rsidRPr="0FF586BA">
        <w:rPr>
          <w:noProof/>
          <w:lang w:val="en-IE" w:eastAsia="fr-FR"/>
        </w:rPr>
        <w:t>and accounting justice are already fully digitalised</w:t>
      </w:r>
      <w:r>
        <w:rPr>
          <w:noProof/>
          <w:lang w:val="en-IE" w:eastAsia="fr-FR"/>
        </w:rPr>
        <w:t>,</w:t>
      </w:r>
      <w:r w:rsidRPr="0FF586BA">
        <w:rPr>
          <w:noProof/>
          <w:lang w:val="en-IE" w:eastAsia="fr-FR"/>
        </w:rPr>
        <w:t xml:space="preserve"> </w:t>
      </w:r>
      <w:r w:rsidRPr="00FB7B48">
        <w:rPr>
          <w:noProof/>
          <w:lang w:val="en-IE" w:eastAsia="fr-FR"/>
        </w:rPr>
        <w:t>which is helping to reduce disposition time, while digital solutions are being deployed to conduct and follow court proceedings in criminal</w:t>
      </w:r>
      <w:r w:rsidRPr="0FF586BA">
        <w:rPr>
          <w:noProof/>
          <w:lang w:val="en-IE" w:eastAsia="fr-FR"/>
        </w:rPr>
        <w:t xml:space="preserve"> cases</w:t>
      </w:r>
      <w:r w:rsidRPr="0FF586BA">
        <w:rPr>
          <w:noProof/>
          <w:vertAlign w:val="superscript"/>
          <w:lang w:val="en-IE" w:eastAsia="fr-FR"/>
        </w:rPr>
        <w:footnoteReference w:id="23"/>
      </w:r>
      <w:r w:rsidRPr="0FF586BA">
        <w:rPr>
          <w:noProof/>
          <w:lang w:val="en-IE" w:eastAsia="fr-FR"/>
        </w:rPr>
        <w:t>. The APP case management system</w:t>
      </w:r>
      <w:r w:rsidRPr="0FF586BA">
        <w:rPr>
          <w:noProof/>
          <w:vertAlign w:val="superscript"/>
          <w:lang w:val="en-IE" w:eastAsia="fr-FR"/>
        </w:rPr>
        <w:footnoteReference w:id="24"/>
      </w:r>
      <w:r w:rsidRPr="0FF586BA">
        <w:rPr>
          <w:noProof/>
          <w:lang w:val="en-IE" w:eastAsia="fr-FR"/>
        </w:rPr>
        <w:t xml:space="preserve">, mandatory since 2025 in all criminal courts and prosecutors’ offices, </w:t>
      </w:r>
      <w:r w:rsidRPr="0002081B">
        <w:rPr>
          <w:noProof/>
          <w:lang w:val="en-IE" w:eastAsia="fr-FR"/>
        </w:rPr>
        <w:t xml:space="preserve">faced </w:t>
      </w:r>
      <w:r w:rsidRPr="0FF586BA">
        <w:rPr>
          <w:noProof/>
          <w:lang w:val="en-IE" w:eastAsia="fr-FR"/>
        </w:rPr>
        <w:t xml:space="preserve">system-related shortcomings </w:t>
      </w:r>
      <w:r w:rsidRPr="0002081B">
        <w:rPr>
          <w:noProof/>
          <w:lang w:val="en-IE" w:eastAsia="fr-FR"/>
        </w:rPr>
        <w:t>which delayed</w:t>
      </w:r>
      <w:r w:rsidRPr="0FF586BA">
        <w:rPr>
          <w:noProof/>
          <w:lang w:val="en-IE" w:eastAsia="fr-FR"/>
        </w:rPr>
        <w:t xml:space="preserve"> the digital transition</w:t>
      </w:r>
      <w:r w:rsidRPr="0FF586BA">
        <w:rPr>
          <w:noProof/>
          <w:vertAlign w:val="superscript"/>
          <w:lang w:val="en-IE" w:eastAsia="fr-FR"/>
        </w:rPr>
        <w:footnoteReference w:id="25"/>
      </w:r>
      <w:r w:rsidRPr="0FF586BA">
        <w:rPr>
          <w:noProof/>
          <w:lang w:val="en-IE" w:eastAsia="fr-FR"/>
        </w:rPr>
        <w:t xml:space="preserve">. </w:t>
      </w:r>
      <w:r w:rsidRPr="0002081B">
        <w:rPr>
          <w:noProof/>
          <w:lang w:val="en-IE" w:eastAsia="fr-FR"/>
        </w:rPr>
        <w:t>After enacting a corrective strategy, the Government announced that by the end of 2025 the first-instance criminal trial workflow was fully digitalised</w:t>
      </w:r>
      <w:r w:rsidRPr="0FF586BA">
        <w:rPr>
          <w:noProof/>
          <w:vertAlign w:val="superscript"/>
          <w:lang w:val="en-IE" w:eastAsia="fr-FR"/>
        </w:rPr>
        <w:footnoteReference w:id="26"/>
      </w:r>
      <w:r w:rsidRPr="0002081B">
        <w:rPr>
          <w:noProof/>
          <w:lang w:val="en-IE" w:eastAsia="fr-FR"/>
        </w:rPr>
        <w:t>. This entailed the interoperability between APP and the other digital court systems</w:t>
      </w:r>
      <w:r w:rsidRPr="0FF586BA">
        <w:rPr>
          <w:noProof/>
          <w:vertAlign w:val="superscript"/>
          <w:lang w:val="en-IE" w:eastAsia="fr-FR"/>
        </w:rPr>
        <w:footnoteReference w:id="27"/>
      </w:r>
      <w:r w:rsidRPr="0FF586BA">
        <w:rPr>
          <w:noProof/>
          <w:lang w:val="en-IE" w:eastAsia="fr-FR"/>
        </w:rPr>
        <w:t>, the promotion of digital templates for legal acts, the reorganisation of the digital trial file, the digital management of the hearing, and the strengthening of the IT infrastructure including security and performance</w:t>
      </w:r>
      <w:r w:rsidRPr="0FF586BA">
        <w:rPr>
          <w:noProof/>
          <w:vertAlign w:val="superscript"/>
          <w:lang w:val="en-IE" w:eastAsia="fr-FR"/>
        </w:rPr>
        <w:footnoteReference w:id="28"/>
      </w:r>
      <w:r w:rsidRPr="0FF586BA">
        <w:rPr>
          <w:noProof/>
          <w:lang w:val="en-IE" w:eastAsia="fr-FR"/>
        </w:rPr>
        <w:t>. While some procedures remain to be digitalised</w:t>
      </w:r>
      <w:r w:rsidRPr="0FF586BA">
        <w:rPr>
          <w:noProof/>
          <w:vertAlign w:val="superscript"/>
          <w:lang w:val="en-IE" w:eastAsia="fr-FR"/>
        </w:rPr>
        <w:footnoteReference w:id="29"/>
      </w:r>
      <w:r w:rsidR="00A91AD4">
        <w:rPr>
          <w:noProof/>
          <w:lang w:val="en-IE" w:eastAsia="fr-FR"/>
        </w:rPr>
        <w:t>,</w:t>
      </w:r>
      <w:r w:rsidRPr="0FF586BA">
        <w:rPr>
          <w:noProof/>
          <w:lang w:val="en-IE" w:eastAsia="fr-FR"/>
        </w:rPr>
        <w:t xml:space="preserve"> digital applications </w:t>
      </w:r>
      <w:r w:rsidR="005F1A86" w:rsidRPr="005F1A86">
        <w:rPr>
          <w:noProof/>
          <w:lang w:val="en-IE" w:eastAsia="fr-FR"/>
        </w:rPr>
        <w:t xml:space="preserve">are </w:t>
      </w:r>
      <w:r w:rsidR="005F1A86">
        <w:rPr>
          <w:noProof/>
          <w:lang w:val="en-IE" w:eastAsia="fr-FR"/>
        </w:rPr>
        <w:t xml:space="preserve">now </w:t>
      </w:r>
      <w:r w:rsidR="008C7D7C">
        <w:rPr>
          <w:noProof/>
          <w:lang w:val="en-IE" w:eastAsia="fr-FR"/>
        </w:rPr>
        <w:t xml:space="preserve">interoperable and </w:t>
      </w:r>
      <w:r w:rsidR="005F1A86" w:rsidRPr="005F1A86">
        <w:rPr>
          <w:noProof/>
          <w:lang w:val="en-IE" w:eastAsia="fr-FR"/>
        </w:rPr>
        <w:t>open for lawyers</w:t>
      </w:r>
      <w:r w:rsidR="008C7D7C" w:rsidRPr="008C7D7C">
        <w:rPr>
          <w:noProof/>
          <w:lang w:val="en-IE" w:eastAsia="fr-FR"/>
        </w:rPr>
        <w:t xml:space="preserve"> </w:t>
      </w:r>
      <w:r w:rsidR="008C7D7C" w:rsidRPr="005F1A86">
        <w:rPr>
          <w:noProof/>
          <w:lang w:val="en-IE" w:eastAsia="fr-FR"/>
        </w:rPr>
        <w:t>and for police forces</w:t>
      </w:r>
      <w:bookmarkStart w:id="8" w:name="_Hlk233623523"/>
      <w:r w:rsidRPr="0FF586BA">
        <w:rPr>
          <w:noProof/>
          <w:vertAlign w:val="superscript"/>
          <w:lang w:val="en-IE" w:eastAsia="fr-FR"/>
        </w:rPr>
        <w:footnoteReference w:id="30"/>
      </w:r>
      <w:r w:rsidR="00A91AD4">
        <w:rPr>
          <w:noProof/>
          <w:lang w:val="en-IE" w:eastAsia="fr-FR"/>
        </w:rPr>
        <w:t>.</w:t>
      </w:r>
      <w:r w:rsidRPr="0FF586BA">
        <w:rPr>
          <w:noProof/>
          <w:lang w:val="en-IE" w:eastAsia="fr-FR"/>
        </w:rPr>
        <w:t xml:space="preserve"> </w:t>
      </w:r>
      <w:bookmarkEnd w:id="8"/>
      <w:r w:rsidR="00E4136F" w:rsidRPr="0FF586BA">
        <w:rPr>
          <w:noProof/>
          <w:lang w:val="en-IE" w:eastAsia="fr-FR"/>
        </w:rPr>
        <w:t xml:space="preserve">According </w:t>
      </w:r>
      <w:r w:rsidRPr="0FF586BA">
        <w:rPr>
          <w:noProof/>
          <w:lang w:val="en-IE" w:eastAsia="fr-FR"/>
        </w:rPr>
        <w:t xml:space="preserve">to the Government, as from end of 2025, the digital platform is </w:t>
      </w:r>
      <w:r w:rsidRPr="00D547AD">
        <w:rPr>
          <w:noProof/>
          <w:lang w:val="en-IE" w:eastAsia="fr-FR"/>
        </w:rPr>
        <w:t>the prime operating system for judges, prosecutors and lawyers in first-instance criminal proceedings</w:t>
      </w:r>
      <w:r w:rsidRPr="00D547AD">
        <w:rPr>
          <w:noProof/>
          <w:vertAlign w:val="superscript"/>
          <w:lang w:val="en-IE" w:eastAsia="fr-FR"/>
        </w:rPr>
        <w:footnoteReference w:id="31"/>
      </w:r>
      <w:r w:rsidRPr="00D547AD">
        <w:rPr>
          <w:noProof/>
          <w:lang w:val="en-IE" w:eastAsia="fr-FR"/>
        </w:rPr>
        <w:t>. S</w:t>
      </w:r>
      <w:r>
        <w:rPr>
          <w:noProof/>
          <w:lang w:val="en-IE" w:eastAsia="fr-FR"/>
        </w:rPr>
        <w:t>ignificant</w:t>
      </w:r>
      <w:r w:rsidRPr="00D547AD">
        <w:rPr>
          <w:noProof/>
          <w:lang w:val="en-IE" w:eastAsia="fr-FR"/>
        </w:rPr>
        <w:t xml:space="preserve"> further progress has been made on the recommendation in the</w:t>
      </w:r>
      <w:r w:rsidRPr="0FF586BA">
        <w:rPr>
          <w:noProof/>
          <w:lang w:val="en-IE" w:eastAsia="fr-FR"/>
        </w:rPr>
        <w:t xml:space="preserve"> 2025 Rule of Law Report.</w:t>
      </w:r>
      <w:r w:rsidRPr="0002081B">
        <w:rPr>
          <w:noProof/>
          <w:lang w:val="en-IE" w:eastAsia="fr-FR"/>
        </w:rPr>
        <w:t xml:space="preserve"> </w:t>
      </w:r>
    </w:p>
    <w:p w14:paraId="2E882F41" w14:textId="0294F7E8" w:rsidR="00490F94" w:rsidRDefault="00490F94" w:rsidP="00490F94">
      <w:pPr>
        <w:rPr>
          <w:noProof/>
          <w:lang w:val="en-IE" w:eastAsia="fr-FR"/>
        </w:rPr>
      </w:pPr>
      <w:r w:rsidRPr="0002081B">
        <w:rPr>
          <w:b/>
          <w:bCs/>
          <w:noProof/>
          <w:lang w:eastAsia="fr-FR"/>
        </w:rPr>
        <w:t>Parliament adopted a Law on A</w:t>
      </w:r>
      <w:r>
        <w:rPr>
          <w:b/>
          <w:bCs/>
          <w:noProof/>
          <w:lang w:eastAsia="fr-FR"/>
        </w:rPr>
        <w:t xml:space="preserve">rtificial </w:t>
      </w:r>
      <w:r w:rsidRPr="0002081B">
        <w:rPr>
          <w:b/>
          <w:bCs/>
          <w:noProof/>
          <w:lang w:eastAsia="fr-FR"/>
        </w:rPr>
        <w:t>I</w:t>
      </w:r>
      <w:r>
        <w:rPr>
          <w:b/>
          <w:bCs/>
          <w:noProof/>
          <w:lang w:eastAsia="fr-FR"/>
        </w:rPr>
        <w:t>ntelligence</w:t>
      </w:r>
      <w:r w:rsidRPr="0002081B">
        <w:rPr>
          <w:b/>
          <w:bCs/>
          <w:noProof/>
          <w:lang w:eastAsia="fr-FR"/>
        </w:rPr>
        <w:t xml:space="preserve">, </w:t>
      </w:r>
      <w:r>
        <w:rPr>
          <w:b/>
          <w:bCs/>
          <w:noProof/>
          <w:lang w:eastAsia="fr-FR"/>
        </w:rPr>
        <w:t>including</w:t>
      </w:r>
      <w:r w:rsidRPr="0002081B">
        <w:rPr>
          <w:b/>
          <w:bCs/>
          <w:noProof/>
          <w:lang w:eastAsia="fr-FR"/>
        </w:rPr>
        <w:t xml:space="preserve"> </w:t>
      </w:r>
      <w:r>
        <w:rPr>
          <w:b/>
          <w:bCs/>
          <w:noProof/>
          <w:lang w:eastAsia="fr-FR"/>
        </w:rPr>
        <w:t xml:space="preserve">about </w:t>
      </w:r>
      <w:r w:rsidRPr="0002081B">
        <w:rPr>
          <w:b/>
          <w:bCs/>
          <w:noProof/>
          <w:lang w:eastAsia="fr-FR"/>
        </w:rPr>
        <w:t>its use in the justice system</w:t>
      </w:r>
      <w:r w:rsidRPr="007945B6">
        <w:rPr>
          <w:b/>
          <w:bCs/>
          <w:noProof/>
          <w:lang w:eastAsia="fr-FR"/>
        </w:rPr>
        <w:t>.</w:t>
      </w:r>
      <w:r w:rsidRPr="0002081B">
        <w:rPr>
          <w:noProof/>
          <w:lang w:eastAsia="fr-FR"/>
        </w:rPr>
        <w:t xml:space="preserve"> The Law, adopted in September 2025, reserves to magistrates all decisions on the interpretation and application of the law, </w:t>
      </w:r>
      <w:r>
        <w:rPr>
          <w:noProof/>
          <w:lang w:eastAsia="fr-FR"/>
        </w:rPr>
        <w:t>while it promotes</w:t>
      </w:r>
      <w:r w:rsidRPr="0002081B">
        <w:rPr>
          <w:noProof/>
          <w:lang w:eastAsia="fr-FR"/>
        </w:rPr>
        <w:t xml:space="preserve"> the use of AI to </w:t>
      </w:r>
      <w:r>
        <w:rPr>
          <w:noProof/>
          <w:lang w:eastAsia="fr-FR"/>
        </w:rPr>
        <w:t>simplify</w:t>
      </w:r>
      <w:r w:rsidRPr="0002081B">
        <w:rPr>
          <w:noProof/>
          <w:lang w:eastAsia="fr-FR"/>
        </w:rPr>
        <w:t xml:space="preserve"> support activities</w:t>
      </w:r>
      <w:r w:rsidRPr="0002081B">
        <w:rPr>
          <w:noProof/>
          <w:vertAlign w:val="superscript"/>
          <w:lang w:eastAsia="fr-FR"/>
        </w:rPr>
        <w:footnoteReference w:id="32"/>
      </w:r>
      <w:r w:rsidRPr="007C4638">
        <w:rPr>
          <w:noProof/>
          <w:lang w:val="en-IE" w:eastAsia="fr-FR"/>
        </w:rPr>
        <w:t xml:space="preserve">. </w:t>
      </w:r>
      <w:r w:rsidR="004D782A" w:rsidDel="00D90CD4">
        <w:rPr>
          <w:noProof/>
        </w:rPr>
        <w:t>I</w:t>
      </w:r>
      <w:r w:rsidR="004D782A" w:rsidRPr="00751D61" w:rsidDel="00D90CD4">
        <w:rPr>
          <w:noProof/>
        </w:rPr>
        <w:t>mplementing</w:t>
      </w:r>
      <w:r w:rsidR="004D782A" w:rsidDel="00D90CD4">
        <w:rPr>
          <w:noProof/>
        </w:rPr>
        <w:t xml:space="preserve"> </w:t>
      </w:r>
      <w:r w:rsidR="003B2BE1">
        <w:rPr>
          <w:noProof/>
        </w:rPr>
        <w:t>decrees</w:t>
      </w:r>
      <w:r w:rsidR="004D782A" w:rsidDel="00D90CD4">
        <w:rPr>
          <w:noProof/>
        </w:rPr>
        <w:t xml:space="preserve"> </w:t>
      </w:r>
      <w:r w:rsidR="004D782A" w:rsidRPr="00751D61" w:rsidDel="00D90CD4">
        <w:rPr>
          <w:noProof/>
        </w:rPr>
        <w:t>adopted on 10 June 2026 provide</w:t>
      </w:r>
      <w:r w:rsidR="004D782A" w:rsidDel="00D90CD4">
        <w:rPr>
          <w:noProof/>
        </w:rPr>
        <w:t xml:space="preserve"> </w:t>
      </w:r>
      <w:r w:rsidR="004D782A" w:rsidRPr="00751D61" w:rsidDel="00D90CD4">
        <w:rPr>
          <w:noProof/>
        </w:rPr>
        <w:t xml:space="preserve">for training programmes </w:t>
      </w:r>
      <w:r w:rsidR="004D782A" w:rsidDel="00D90CD4">
        <w:rPr>
          <w:noProof/>
        </w:rPr>
        <w:t xml:space="preserve">on AI </w:t>
      </w:r>
      <w:r w:rsidR="004D782A" w:rsidRPr="00751D61" w:rsidDel="00D90CD4">
        <w:rPr>
          <w:noProof/>
        </w:rPr>
        <w:t xml:space="preserve">for </w:t>
      </w:r>
      <w:r w:rsidR="004D782A" w:rsidDel="00D90CD4">
        <w:rPr>
          <w:noProof/>
        </w:rPr>
        <w:t xml:space="preserve">judicial and </w:t>
      </w:r>
      <w:r w:rsidR="004D782A" w:rsidRPr="00751D61" w:rsidDel="00D90CD4">
        <w:rPr>
          <w:noProof/>
        </w:rPr>
        <w:t>administrati</w:t>
      </w:r>
      <w:r w:rsidR="004D782A" w:rsidDel="00D90CD4">
        <w:rPr>
          <w:noProof/>
        </w:rPr>
        <w:t>ve staff</w:t>
      </w:r>
      <w:r w:rsidR="004D782A" w:rsidRPr="00751D61" w:rsidDel="00D90CD4">
        <w:rPr>
          <w:noProof/>
        </w:rPr>
        <w:t>, cover</w:t>
      </w:r>
      <w:r w:rsidR="004D782A" w:rsidDel="00D90CD4">
        <w:rPr>
          <w:noProof/>
        </w:rPr>
        <w:t>ing both</w:t>
      </w:r>
      <w:r w:rsidR="004D782A" w:rsidRPr="00751D61" w:rsidDel="00D90CD4">
        <w:rPr>
          <w:noProof/>
        </w:rPr>
        <w:t xml:space="preserve"> technical aspects </w:t>
      </w:r>
      <w:r w:rsidR="004D782A" w:rsidDel="00D90CD4">
        <w:rPr>
          <w:noProof/>
        </w:rPr>
        <w:t xml:space="preserve">and </w:t>
      </w:r>
      <w:r w:rsidR="004D782A" w:rsidRPr="00751D61" w:rsidDel="00D90CD4">
        <w:rPr>
          <w:noProof/>
        </w:rPr>
        <w:t>legal issues</w:t>
      </w:r>
      <w:r w:rsidR="00684637">
        <w:rPr>
          <w:noProof/>
        </w:rPr>
        <w:t>, including implications of the use of AI system</w:t>
      </w:r>
      <w:r w:rsidR="00CF59A9">
        <w:rPr>
          <w:noProof/>
        </w:rPr>
        <w:t>s</w:t>
      </w:r>
      <w:r w:rsidR="00684637">
        <w:rPr>
          <w:noProof/>
        </w:rPr>
        <w:t xml:space="preserve"> for the organisation of the judiciary and protection of individual rights</w:t>
      </w:r>
      <w:r w:rsidR="002B7FF5" w:rsidRPr="0002081B">
        <w:rPr>
          <w:noProof/>
          <w:vertAlign w:val="superscript"/>
          <w:lang w:eastAsia="fr-FR"/>
        </w:rPr>
        <w:footnoteReference w:id="33"/>
      </w:r>
      <w:r w:rsidR="004D782A" w:rsidDel="00D90CD4">
        <w:rPr>
          <w:noProof/>
        </w:rPr>
        <w:t>.</w:t>
      </w:r>
    </w:p>
    <w:p w14:paraId="3989A116" w14:textId="447A64AF" w:rsidR="00490F94" w:rsidRPr="007C4638" w:rsidRDefault="00DF2C33" w:rsidP="00490F94">
      <w:pPr>
        <w:rPr>
          <w:noProof/>
          <w:lang w:val="en-IE" w:eastAsia="fr-FR"/>
        </w:rPr>
      </w:pPr>
      <w:r w:rsidRPr="00D71250">
        <w:rPr>
          <w:b/>
          <w:bCs/>
          <w:noProof/>
          <w:lang w:eastAsia="fr-FR"/>
        </w:rPr>
        <w:t xml:space="preserve">Lawyers raised concerns about </w:t>
      </w:r>
      <w:r>
        <w:rPr>
          <w:b/>
          <w:bCs/>
          <w:noProof/>
          <w:lang w:eastAsia="fr-FR"/>
        </w:rPr>
        <w:t>t</w:t>
      </w:r>
      <w:r w:rsidRPr="009E2B98">
        <w:rPr>
          <w:b/>
          <w:bCs/>
          <w:noProof/>
          <w:lang w:eastAsia="fr-FR"/>
        </w:rPr>
        <w:t>he mechanism for offsetting outstanding debts against</w:t>
      </w:r>
      <w:r w:rsidRPr="009E2B98" w:rsidDel="009E2B98">
        <w:rPr>
          <w:b/>
          <w:bCs/>
          <w:noProof/>
          <w:lang w:eastAsia="fr-FR"/>
        </w:rPr>
        <w:t xml:space="preserve"> </w:t>
      </w:r>
      <w:r w:rsidRPr="00D71250">
        <w:rPr>
          <w:b/>
          <w:bCs/>
          <w:noProof/>
          <w:lang w:eastAsia="fr-FR"/>
        </w:rPr>
        <w:t>legal aid</w:t>
      </w:r>
      <w:r>
        <w:rPr>
          <w:b/>
          <w:bCs/>
          <w:noProof/>
          <w:lang w:eastAsia="fr-FR"/>
        </w:rPr>
        <w:t xml:space="preserve"> payments</w:t>
      </w:r>
      <w:r w:rsidRPr="00FB7B48">
        <w:rPr>
          <w:b/>
          <w:bCs/>
          <w:noProof/>
          <w:lang w:eastAsia="fr-FR"/>
        </w:rPr>
        <w:t xml:space="preserve">. </w:t>
      </w:r>
      <w:r w:rsidRPr="00DF2C33">
        <w:rPr>
          <w:noProof/>
          <w:lang w:eastAsia="fr-FR"/>
        </w:rPr>
        <w:t>With a view to strengthening tax collection and preventing public funds from being paid out to professionals with outstanding tax debts,</w:t>
      </w:r>
      <w:r w:rsidRPr="009E2B98">
        <w:rPr>
          <w:b/>
          <w:bCs/>
          <w:noProof/>
          <w:lang w:eastAsia="fr-FR"/>
        </w:rPr>
        <w:t xml:space="preserve"> </w:t>
      </w:r>
      <w:r w:rsidRPr="00D71250">
        <w:rPr>
          <w:noProof/>
          <w:lang w:eastAsia="fr-FR"/>
        </w:rPr>
        <w:t>Italy’s</w:t>
      </w:r>
      <w:r w:rsidRPr="00FB7B48">
        <w:rPr>
          <w:noProof/>
          <w:lang w:eastAsia="fr-FR"/>
        </w:rPr>
        <w:t xml:space="preserve"> 2026 budget law </w:t>
      </w:r>
      <w:r w:rsidRPr="009E2B98">
        <w:rPr>
          <w:noProof/>
          <w:lang w:eastAsia="fr-FR"/>
        </w:rPr>
        <w:t xml:space="preserve">extended the scope of the existing offset mechanism to professional payments of up to </w:t>
      </w:r>
      <w:r>
        <w:rPr>
          <w:noProof/>
          <w:lang w:eastAsia="fr-FR"/>
        </w:rPr>
        <w:t>EUR</w:t>
      </w:r>
      <w:r w:rsidRPr="009E2B98">
        <w:rPr>
          <w:noProof/>
          <w:lang w:eastAsia="fr-FR"/>
        </w:rPr>
        <w:t xml:space="preserve"> 5</w:t>
      </w:r>
      <w:r>
        <w:rPr>
          <w:noProof/>
          <w:lang w:eastAsia="fr-FR"/>
        </w:rPr>
        <w:t> </w:t>
      </w:r>
      <w:r w:rsidRPr="009E2B98">
        <w:rPr>
          <w:noProof/>
          <w:lang w:eastAsia="fr-FR"/>
        </w:rPr>
        <w:t>000</w:t>
      </w:r>
      <w:r w:rsidRPr="001C4D01">
        <w:rPr>
          <w:noProof/>
          <w:lang w:eastAsia="fr-FR"/>
        </w:rPr>
        <w:t xml:space="preserve">. </w:t>
      </w:r>
      <w:r w:rsidR="00490F94" w:rsidRPr="001C4D01">
        <w:rPr>
          <w:noProof/>
          <w:lang w:eastAsia="fr-FR"/>
        </w:rPr>
        <w:t>The Bar Association expressed concerns that these rules would affect legal aid lawyers who already receive delayed payments from the State. The Bar Association considers that the new rules might deter lawyers from providing legal aid and risk paralysing the legal aid system.</w:t>
      </w:r>
      <w:r w:rsidR="00490F94" w:rsidRPr="001C4D01">
        <w:rPr>
          <w:noProof/>
          <w:vertAlign w:val="superscript"/>
          <w:lang w:eastAsia="fr-FR"/>
        </w:rPr>
        <w:footnoteReference w:id="34"/>
      </w:r>
      <w:r w:rsidR="00490F94" w:rsidRPr="001C4D01" w:rsidDel="008C7C9C">
        <w:rPr>
          <w:noProof/>
          <w:lang w:eastAsia="fr-FR"/>
        </w:rPr>
        <w:t xml:space="preserve"> </w:t>
      </w:r>
    </w:p>
    <w:p w14:paraId="6FF5A5FA" w14:textId="77777777" w:rsidR="00490F94" w:rsidRPr="00703B6E" w:rsidRDefault="00490F94" w:rsidP="00490F94">
      <w:pPr>
        <w:keepNext/>
        <w:outlineLvl w:val="1"/>
        <w:rPr>
          <w:b/>
          <w:noProof/>
          <w:szCs w:val="24"/>
          <w:lang w:eastAsia="en-GB"/>
        </w:rPr>
      </w:pPr>
      <w:r w:rsidRPr="00703B6E">
        <w:rPr>
          <w:b/>
          <w:noProof/>
          <w:szCs w:val="24"/>
          <w:lang w:eastAsia="en-GB"/>
        </w:rPr>
        <w:t xml:space="preserve">Efficiency </w:t>
      </w:r>
    </w:p>
    <w:p w14:paraId="3DED519F" w14:textId="3A05BCB8" w:rsidR="00490F94" w:rsidRPr="0002081B" w:rsidRDefault="00490F94" w:rsidP="00490F94">
      <w:pPr>
        <w:rPr>
          <w:noProof/>
          <w:color w:val="000000" w:themeColor="text1"/>
          <w:lang w:eastAsia="fr-FR"/>
        </w:rPr>
      </w:pPr>
      <w:r w:rsidRPr="2263BBF1">
        <w:rPr>
          <w:b/>
          <w:bCs/>
          <w:noProof/>
          <w:lang w:eastAsia="fr-FR"/>
        </w:rPr>
        <w:t>The positive trend in reduction of the disposition time continued, while the length of judicial proceedings remains a serious issue</w:t>
      </w:r>
      <w:r w:rsidR="001A125C" w:rsidRPr="0FF586BA">
        <w:rPr>
          <w:noProof/>
          <w:vertAlign w:val="superscript"/>
          <w:lang w:eastAsia="fr-FR"/>
        </w:rPr>
        <w:footnoteReference w:id="35"/>
      </w:r>
      <w:r w:rsidRPr="2263BBF1">
        <w:rPr>
          <w:noProof/>
          <w:lang w:eastAsia="fr-FR"/>
        </w:rPr>
        <w:t xml:space="preserve">. </w:t>
      </w:r>
      <w:r w:rsidRPr="0FF586BA">
        <w:rPr>
          <w:noProof/>
          <w:lang w:eastAsia="fr-FR"/>
        </w:rPr>
        <w:t>Previous judicial reforms that aimed to increase efficiency of the justice system are now in effect, with implementing legislation and by-laws in place</w:t>
      </w:r>
      <w:r w:rsidRPr="0FF586BA">
        <w:rPr>
          <w:noProof/>
          <w:vertAlign w:val="superscript"/>
          <w:lang w:eastAsia="fr-FR"/>
        </w:rPr>
        <w:footnoteReference w:id="36"/>
      </w:r>
      <w:r w:rsidRPr="0FF586BA">
        <w:rPr>
          <w:noProof/>
          <w:lang w:eastAsia="fr-FR"/>
        </w:rPr>
        <w:t>.</w:t>
      </w:r>
      <w:r>
        <w:rPr>
          <w:noProof/>
          <w:lang w:eastAsia="fr-FR"/>
        </w:rPr>
        <w:t xml:space="preserve"> </w:t>
      </w:r>
      <w:r w:rsidRPr="006C3AD9">
        <w:rPr>
          <w:bCs/>
          <w:noProof/>
          <w:lang w:eastAsia="fr-FR"/>
        </w:rPr>
        <w:t>The judiciary, Government and Parliament cooperated closely to design and introduce targeted measures aimed at achieving the RRP targets of reduction of backlog and of disposition time</w:t>
      </w:r>
      <w:r w:rsidRPr="00D92D10">
        <w:rPr>
          <w:noProof/>
          <w:vertAlign w:val="superscript"/>
          <w:lang w:eastAsia="fr-FR"/>
        </w:rPr>
        <w:footnoteReference w:id="37"/>
      </w:r>
      <w:r w:rsidRPr="00D92D10">
        <w:rPr>
          <w:noProof/>
          <w:lang w:eastAsia="fr-FR"/>
        </w:rPr>
        <w:t>.</w:t>
      </w:r>
      <w:r w:rsidRPr="0FF586BA">
        <w:rPr>
          <w:noProof/>
          <w:lang w:eastAsia="fr-FR"/>
        </w:rPr>
        <w:t xml:space="preserve"> </w:t>
      </w:r>
      <w:r w:rsidR="00676CD7" w:rsidRPr="2263BBF1">
        <w:rPr>
          <w:noProof/>
          <w:lang w:eastAsia="fr-FR"/>
        </w:rPr>
        <w:t xml:space="preserve">The </w:t>
      </w:r>
      <w:r w:rsidRPr="2263BBF1">
        <w:rPr>
          <w:noProof/>
          <w:lang w:eastAsia="fr-FR"/>
        </w:rPr>
        <w:t>disposition time of civil and commercial cases</w:t>
      </w:r>
      <w:r w:rsidR="00676CD7">
        <w:rPr>
          <w:noProof/>
          <w:lang w:eastAsia="fr-FR"/>
        </w:rPr>
        <w:t xml:space="preserve"> </w:t>
      </w:r>
      <w:r w:rsidR="00676CD7" w:rsidRPr="2263BBF1">
        <w:rPr>
          <w:noProof/>
          <w:lang w:eastAsia="fr-FR"/>
        </w:rPr>
        <w:t>decreased</w:t>
      </w:r>
      <w:r w:rsidR="00676CD7">
        <w:rPr>
          <w:noProof/>
          <w:lang w:eastAsia="fr-FR"/>
        </w:rPr>
        <w:t xml:space="preserve"> in all instances, </w:t>
      </w:r>
      <w:r w:rsidR="00676CD7" w:rsidRPr="00676CD7">
        <w:rPr>
          <w:noProof/>
          <w:lang w:eastAsia="fr-FR"/>
        </w:rPr>
        <w:t>reaching 1</w:t>
      </w:r>
      <w:r w:rsidR="007E12AB">
        <w:rPr>
          <w:noProof/>
          <w:lang w:eastAsia="fr-FR"/>
        </w:rPr>
        <w:t> </w:t>
      </w:r>
      <w:r w:rsidR="00676CD7" w:rsidRPr="00676CD7">
        <w:rPr>
          <w:noProof/>
          <w:lang w:eastAsia="fr-FR"/>
        </w:rPr>
        <w:t>789 days by end 2025 (-28</w:t>
      </w:r>
      <w:r w:rsidR="006D2A6A">
        <w:rPr>
          <w:noProof/>
          <w:lang w:eastAsia="fr-FR"/>
        </w:rPr>
        <w:t>.</w:t>
      </w:r>
      <w:r w:rsidR="00676CD7" w:rsidRPr="00676CD7">
        <w:rPr>
          <w:noProof/>
          <w:lang w:eastAsia="fr-FR"/>
        </w:rPr>
        <w:t>8% compared to 2</w:t>
      </w:r>
      <w:r w:rsidR="007E12AB">
        <w:rPr>
          <w:noProof/>
          <w:lang w:eastAsia="fr-FR"/>
        </w:rPr>
        <w:t> </w:t>
      </w:r>
      <w:r w:rsidR="00676CD7" w:rsidRPr="00676CD7">
        <w:rPr>
          <w:noProof/>
          <w:lang w:eastAsia="fr-FR"/>
        </w:rPr>
        <w:t>512 days in 2019; the RRP target is -40</w:t>
      </w:r>
      <w:r w:rsidR="00676CD7" w:rsidRPr="67E4EC3A">
        <w:rPr>
          <w:noProof/>
          <w:lang w:eastAsia="fr-FR"/>
        </w:rPr>
        <w:t>%</w:t>
      </w:r>
      <w:r w:rsidR="60A0FE0E" w:rsidRPr="67E4EC3A">
        <w:rPr>
          <w:noProof/>
          <w:lang w:eastAsia="fr-FR"/>
        </w:rPr>
        <w:t xml:space="preserve"> </w:t>
      </w:r>
      <w:r w:rsidR="60A0FE0E" w:rsidRPr="0CC9E962">
        <w:rPr>
          <w:noProof/>
          <w:lang w:eastAsia="fr-FR"/>
        </w:rPr>
        <w:t>by 30 June 2026</w:t>
      </w:r>
      <w:r w:rsidR="00676CD7" w:rsidRPr="0CC9E962">
        <w:rPr>
          <w:noProof/>
          <w:lang w:eastAsia="fr-FR"/>
        </w:rPr>
        <w:t>). </w:t>
      </w:r>
      <w:r w:rsidR="00B70312" w:rsidRPr="0CC9E962">
        <w:rPr>
          <w:noProof/>
          <w:lang w:eastAsia="fr-FR"/>
        </w:rPr>
        <w:t xml:space="preserve"> </w:t>
      </w:r>
      <w:r w:rsidR="00B70312">
        <w:rPr>
          <w:noProof/>
          <w:lang w:eastAsia="fr-FR"/>
        </w:rPr>
        <w:t>It</w:t>
      </w:r>
      <w:r w:rsidRPr="2263BBF1">
        <w:rPr>
          <w:noProof/>
          <w:lang w:eastAsia="fr-FR"/>
        </w:rPr>
        <w:t xml:space="preserve"> remain</w:t>
      </w:r>
      <w:r w:rsidR="00B70312">
        <w:rPr>
          <w:noProof/>
          <w:lang w:eastAsia="fr-FR"/>
        </w:rPr>
        <w:t>s</w:t>
      </w:r>
      <w:r w:rsidRPr="2263BBF1">
        <w:rPr>
          <w:noProof/>
          <w:lang w:eastAsia="fr-FR"/>
        </w:rPr>
        <w:t xml:space="preserve"> </w:t>
      </w:r>
      <w:r>
        <w:rPr>
          <w:noProof/>
          <w:lang w:eastAsia="fr-FR"/>
        </w:rPr>
        <w:t xml:space="preserve">among </w:t>
      </w:r>
      <w:r w:rsidRPr="2263BBF1">
        <w:rPr>
          <w:noProof/>
          <w:lang w:eastAsia="fr-FR"/>
        </w:rPr>
        <w:t xml:space="preserve">the </w:t>
      </w:r>
      <w:r>
        <w:rPr>
          <w:noProof/>
          <w:lang w:eastAsia="fr-FR"/>
        </w:rPr>
        <w:t>longest</w:t>
      </w:r>
      <w:r w:rsidRPr="2263BBF1">
        <w:rPr>
          <w:noProof/>
          <w:lang w:eastAsia="fr-FR"/>
        </w:rPr>
        <w:t xml:space="preserve"> in the EU, with an average of over 4.5 years to solve </w:t>
      </w:r>
      <w:r w:rsidR="00B70312" w:rsidRPr="2263BBF1">
        <w:rPr>
          <w:noProof/>
          <w:lang w:eastAsia="fr-FR"/>
        </w:rPr>
        <w:t xml:space="preserve">civil and commercial </w:t>
      </w:r>
      <w:r w:rsidRPr="2263BBF1">
        <w:rPr>
          <w:noProof/>
          <w:lang w:eastAsia="fr-FR"/>
        </w:rPr>
        <w:t>cases</w:t>
      </w:r>
      <w:r w:rsidRPr="2263BBF1">
        <w:rPr>
          <w:noProof/>
          <w:vertAlign w:val="superscript"/>
          <w:lang w:eastAsia="fr-FR"/>
        </w:rPr>
        <w:footnoteReference w:id="38"/>
      </w:r>
      <w:r w:rsidRPr="2263BBF1">
        <w:rPr>
          <w:noProof/>
          <w:lang w:eastAsia="fr-FR"/>
        </w:rPr>
        <w:t xml:space="preserve">. </w:t>
      </w:r>
      <w:r w:rsidR="009C7EC1" w:rsidRPr="2263BBF1">
        <w:rPr>
          <w:noProof/>
          <w:lang w:eastAsia="fr-FR"/>
        </w:rPr>
        <w:t xml:space="preserve">The </w:t>
      </w:r>
      <w:r w:rsidRPr="2263BBF1">
        <w:rPr>
          <w:noProof/>
          <w:lang w:eastAsia="fr-FR"/>
        </w:rPr>
        <w:t>disposition time for criminal cases</w:t>
      </w:r>
      <w:r w:rsidR="009C7EC1">
        <w:rPr>
          <w:noProof/>
          <w:lang w:eastAsia="fr-FR"/>
        </w:rPr>
        <w:t xml:space="preserve"> </w:t>
      </w:r>
      <w:r w:rsidR="00993A4B">
        <w:rPr>
          <w:noProof/>
          <w:lang w:eastAsia="fr-FR"/>
        </w:rPr>
        <w:t>in first instance and appeal</w:t>
      </w:r>
      <w:r w:rsidR="009C7EC1">
        <w:rPr>
          <w:noProof/>
          <w:lang w:eastAsia="fr-FR"/>
        </w:rPr>
        <w:t xml:space="preserve"> </w:t>
      </w:r>
      <w:r w:rsidR="009C7EC1" w:rsidRPr="002B3B0A">
        <w:rPr>
          <w:noProof/>
          <w:lang w:eastAsia="fr-FR"/>
        </w:rPr>
        <w:t>continued to decrease</w:t>
      </w:r>
      <w:r w:rsidRPr="2263BBF1">
        <w:rPr>
          <w:noProof/>
          <w:vertAlign w:val="superscript"/>
          <w:lang w:eastAsia="fr-FR"/>
        </w:rPr>
        <w:footnoteReference w:id="39"/>
      </w:r>
      <w:r w:rsidRPr="2263BBF1">
        <w:rPr>
          <w:noProof/>
          <w:lang w:eastAsia="fr-FR"/>
        </w:rPr>
        <w:t xml:space="preserve">. By </w:t>
      </w:r>
      <w:r w:rsidR="000731F7">
        <w:rPr>
          <w:noProof/>
          <w:lang w:eastAsia="fr-FR"/>
        </w:rPr>
        <w:t>end</w:t>
      </w:r>
      <w:r w:rsidR="000731F7" w:rsidRPr="2263BBF1">
        <w:rPr>
          <w:noProof/>
          <w:lang w:eastAsia="fr-FR"/>
        </w:rPr>
        <w:t xml:space="preserve"> </w:t>
      </w:r>
      <w:r w:rsidRPr="2263BBF1">
        <w:rPr>
          <w:noProof/>
          <w:lang w:eastAsia="fr-FR"/>
        </w:rPr>
        <w:t xml:space="preserve">2025 it had been reduced </w:t>
      </w:r>
      <w:r w:rsidR="0095211F">
        <w:rPr>
          <w:noProof/>
          <w:lang w:eastAsia="fr-FR"/>
        </w:rPr>
        <w:t xml:space="preserve">to </w:t>
      </w:r>
      <w:r w:rsidR="0095211F" w:rsidRPr="0095211F">
        <w:rPr>
          <w:noProof/>
          <w:lang w:eastAsia="fr-FR"/>
        </w:rPr>
        <w:t>958 days</w:t>
      </w:r>
      <w:r w:rsidR="0095211F">
        <w:rPr>
          <w:noProof/>
          <w:lang w:eastAsia="fr-FR"/>
        </w:rPr>
        <w:t xml:space="preserve"> </w:t>
      </w:r>
      <w:r w:rsidRPr="2263BBF1">
        <w:rPr>
          <w:noProof/>
        </w:rPr>
        <w:t xml:space="preserve">in </w:t>
      </w:r>
      <w:r w:rsidR="000731F7">
        <w:rPr>
          <w:noProof/>
        </w:rPr>
        <w:t>all</w:t>
      </w:r>
      <w:r w:rsidR="000731F7" w:rsidRPr="2263BBF1">
        <w:rPr>
          <w:noProof/>
        </w:rPr>
        <w:t xml:space="preserve"> </w:t>
      </w:r>
      <w:r w:rsidRPr="2263BBF1">
        <w:rPr>
          <w:noProof/>
        </w:rPr>
        <w:t>three instances</w:t>
      </w:r>
      <w:r w:rsidR="0095211F">
        <w:rPr>
          <w:noProof/>
        </w:rPr>
        <w:t xml:space="preserve"> (</w:t>
      </w:r>
      <w:r w:rsidR="0095211F">
        <w:rPr>
          <w:noProof/>
          <w:lang w:eastAsia="fr-FR"/>
        </w:rPr>
        <w:t>-</w:t>
      </w:r>
      <w:r w:rsidR="0095211F" w:rsidRPr="2263BBF1">
        <w:rPr>
          <w:noProof/>
        </w:rPr>
        <w:t>3</w:t>
      </w:r>
      <w:r w:rsidR="0095211F">
        <w:rPr>
          <w:noProof/>
        </w:rPr>
        <w:t>1</w:t>
      </w:r>
      <w:r w:rsidR="0095211F" w:rsidRPr="2263BBF1">
        <w:rPr>
          <w:noProof/>
        </w:rPr>
        <w:t>.</w:t>
      </w:r>
      <w:r w:rsidR="0095211F">
        <w:rPr>
          <w:noProof/>
        </w:rPr>
        <w:t>2</w:t>
      </w:r>
      <w:r w:rsidR="0095211F" w:rsidRPr="2263BBF1">
        <w:rPr>
          <w:noProof/>
        </w:rPr>
        <w:t>%</w:t>
      </w:r>
      <w:r w:rsidR="0095211F">
        <w:rPr>
          <w:noProof/>
        </w:rPr>
        <w:t>)</w:t>
      </w:r>
      <w:r w:rsidRPr="2263BBF1">
        <w:rPr>
          <w:noProof/>
        </w:rPr>
        <w:t>, exceeding the RRP target (-25%)</w:t>
      </w:r>
      <w:r w:rsidRPr="2263BBF1">
        <w:rPr>
          <w:noProof/>
          <w:vertAlign w:val="superscript"/>
          <w:lang w:eastAsia="fr-FR"/>
        </w:rPr>
        <w:footnoteReference w:id="40"/>
      </w:r>
      <w:r w:rsidRPr="2263BBF1">
        <w:rPr>
          <w:noProof/>
        </w:rPr>
        <w:t xml:space="preserve">. </w:t>
      </w:r>
      <w:r w:rsidRPr="2263BBF1">
        <w:rPr>
          <w:noProof/>
          <w:lang w:eastAsia="fr-FR"/>
        </w:rPr>
        <w:t>Administrative</w:t>
      </w:r>
      <w:r w:rsidRPr="2263BBF1">
        <w:rPr>
          <w:noProof/>
          <w:vertAlign w:val="superscript"/>
          <w:lang w:eastAsia="fr-FR"/>
        </w:rPr>
        <w:footnoteReference w:id="41"/>
      </w:r>
      <w:r w:rsidRPr="2263BBF1">
        <w:rPr>
          <w:noProof/>
          <w:lang w:eastAsia="fr-FR"/>
        </w:rPr>
        <w:t xml:space="preserve"> and tax</w:t>
      </w:r>
      <w:r w:rsidRPr="2263BBF1">
        <w:rPr>
          <w:b/>
          <w:bCs/>
          <w:noProof/>
          <w:lang w:eastAsia="fr-FR"/>
        </w:rPr>
        <w:t xml:space="preserve"> </w:t>
      </w:r>
      <w:r w:rsidRPr="2263BBF1">
        <w:rPr>
          <w:noProof/>
          <w:lang w:eastAsia="fr-FR"/>
        </w:rPr>
        <w:t>courts</w:t>
      </w:r>
      <w:r w:rsidRPr="2263BBF1">
        <w:rPr>
          <w:noProof/>
          <w:vertAlign w:val="superscript"/>
          <w:lang w:eastAsia="fr-FR"/>
        </w:rPr>
        <w:footnoteReference w:id="42"/>
      </w:r>
      <w:r w:rsidRPr="2263BBF1">
        <w:rPr>
          <w:noProof/>
          <w:lang w:eastAsia="fr-FR"/>
        </w:rPr>
        <w:t xml:space="preserve"> also recorded slight improvements. Italy remains under enhanced supervision of the Council of Europe’s</w:t>
      </w:r>
      <w:r w:rsidRPr="2263BBF1">
        <w:rPr>
          <w:noProof/>
        </w:rPr>
        <w:t xml:space="preserve"> </w:t>
      </w:r>
      <w:r w:rsidRPr="2263BBF1">
        <w:rPr>
          <w:noProof/>
          <w:lang w:eastAsia="fr-FR"/>
        </w:rPr>
        <w:t>Committee of Ministers as regards the length of civil and criminal proceedings</w:t>
      </w:r>
      <w:r w:rsidRPr="2263BBF1">
        <w:rPr>
          <w:noProof/>
          <w:vertAlign w:val="superscript"/>
          <w:lang w:eastAsia="fr-FR"/>
        </w:rPr>
        <w:footnoteReference w:id="43"/>
      </w:r>
      <w:r w:rsidRPr="2263BBF1">
        <w:rPr>
          <w:noProof/>
          <w:lang w:eastAsia="fr-FR"/>
        </w:rPr>
        <w:t xml:space="preserve">. The </w:t>
      </w:r>
      <w:r>
        <w:rPr>
          <w:noProof/>
          <w:lang w:eastAsia="fr-FR"/>
        </w:rPr>
        <w:t>G</w:t>
      </w:r>
      <w:r w:rsidRPr="2263BBF1">
        <w:rPr>
          <w:noProof/>
          <w:lang w:eastAsia="fr-FR"/>
        </w:rPr>
        <w:t xml:space="preserve">overnment continued to pay compensation </w:t>
      </w:r>
      <w:r w:rsidRPr="2263BBF1">
        <w:rPr>
          <w:noProof/>
          <w:color w:val="000000" w:themeColor="text1"/>
          <w:lang w:eastAsia="fr-FR"/>
        </w:rPr>
        <w:t>for the excessive duration of judicial proceedings</w:t>
      </w:r>
      <w:r w:rsidRPr="2263BBF1">
        <w:rPr>
          <w:noProof/>
          <w:color w:val="000000" w:themeColor="text1"/>
          <w:vertAlign w:val="superscript"/>
          <w:lang w:eastAsia="fr-FR"/>
        </w:rPr>
        <w:footnoteReference w:id="44"/>
      </w:r>
      <w:r w:rsidRPr="2263BBF1">
        <w:rPr>
          <w:noProof/>
          <w:color w:val="000000" w:themeColor="text1"/>
          <w:lang w:eastAsia="fr-FR"/>
        </w:rPr>
        <w:t xml:space="preserve">.  </w:t>
      </w:r>
    </w:p>
    <w:p w14:paraId="54610685" w14:textId="77777777" w:rsidR="00490F94" w:rsidRPr="00703B6E" w:rsidRDefault="00490F94" w:rsidP="00490F94">
      <w:pPr>
        <w:rPr>
          <w:noProof/>
          <w:lang w:eastAsia="fr-FR"/>
        </w:rPr>
      </w:pPr>
      <w:r w:rsidRPr="2263BBF1">
        <w:rPr>
          <w:b/>
          <w:bCs/>
          <w:noProof/>
          <w:lang w:eastAsia="fr-FR"/>
        </w:rPr>
        <w:t>Backlog reduction continued, particular</w:t>
      </w:r>
      <w:r>
        <w:rPr>
          <w:b/>
          <w:bCs/>
          <w:noProof/>
          <w:lang w:eastAsia="fr-FR"/>
        </w:rPr>
        <w:t>ly</w:t>
      </w:r>
      <w:r w:rsidRPr="2263BBF1">
        <w:rPr>
          <w:b/>
          <w:bCs/>
          <w:noProof/>
          <w:lang w:eastAsia="fr-FR"/>
        </w:rPr>
        <w:t xml:space="preserve"> in the </w:t>
      </w:r>
      <w:r>
        <w:rPr>
          <w:b/>
          <w:bCs/>
          <w:noProof/>
          <w:lang w:eastAsia="fr-FR"/>
        </w:rPr>
        <w:t>oldest</w:t>
      </w:r>
      <w:r w:rsidRPr="2263BBF1">
        <w:rPr>
          <w:b/>
          <w:bCs/>
          <w:noProof/>
          <w:lang w:eastAsia="fr-FR"/>
        </w:rPr>
        <w:t xml:space="preserve"> cases</w:t>
      </w:r>
      <w:r w:rsidRPr="2263BBF1">
        <w:rPr>
          <w:noProof/>
          <w:lang w:eastAsia="fr-FR"/>
        </w:rPr>
        <w:t xml:space="preserve">. </w:t>
      </w:r>
      <w:bookmarkStart w:id="9" w:name="_Hlk223702506"/>
      <w:r>
        <w:rPr>
          <w:noProof/>
          <w:lang w:eastAsia="fr-FR"/>
        </w:rPr>
        <w:t xml:space="preserve">In 2024, </w:t>
      </w:r>
      <w:r w:rsidRPr="2263BBF1">
        <w:rPr>
          <w:noProof/>
          <w:lang w:eastAsia="fr-FR"/>
        </w:rPr>
        <w:t xml:space="preserve">the </w:t>
      </w:r>
      <w:r w:rsidRPr="006B7E91">
        <w:rPr>
          <w:noProof/>
          <w:lang w:eastAsia="fr-FR"/>
        </w:rPr>
        <w:t xml:space="preserve">clearance rate was 95% for </w:t>
      </w:r>
      <w:r>
        <w:rPr>
          <w:noProof/>
          <w:lang w:eastAsia="fr-FR"/>
        </w:rPr>
        <w:t xml:space="preserve">first-instance </w:t>
      </w:r>
      <w:r w:rsidRPr="006B7E91">
        <w:rPr>
          <w:noProof/>
          <w:lang w:eastAsia="fr-FR"/>
        </w:rPr>
        <w:t>civil and commercial cases (down from 110% in 2023)</w:t>
      </w:r>
      <w:r w:rsidRPr="2263BBF1">
        <w:rPr>
          <w:noProof/>
          <w:vertAlign w:val="superscript"/>
          <w:lang w:eastAsia="fr-FR"/>
        </w:rPr>
        <w:footnoteReference w:id="45"/>
      </w:r>
      <w:r w:rsidRPr="006B7E91">
        <w:rPr>
          <w:noProof/>
          <w:lang w:eastAsia="fr-FR"/>
        </w:rPr>
        <w:t>,</w:t>
      </w:r>
      <w:r w:rsidRPr="2263BBF1">
        <w:rPr>
          <w:noProof/>
          <w:lang w:eastAsia="fr-FR"/>
        </w:rPr>
        <w:t xml:space="preserve"> and the total number of pending cases slightly increased</w:t>
      </w:r>
      <w:r w:rsidRPr="2263BBF1">
        <w:rPr>
          <w:noProof/>
          <w:vertAlign w:val="superscript"/>
          <w:lang w:eastAsia="fr-FR"/>
        </w:rPr>
        <w:footnoteReference w:id="46"/>
      </w:r>
      <w:r w:rsidRPr="2263BBF1">
        <w:rPr>
          <w:noProof/>
          <w:lang w:eastAsia="fr-FR"/>
        </w:rPr>
        <w:t xml:space="preserve">. The </w:t>
      </w:r>
      <w:r>
        <w:rPr>
          <w:noProof/>
          <w:lang w:eastAsia="fr-FR"/>
        </w:rPr>
        <w:t>oldest</w:t>
      </w:r>
      <w:r w:rsidRPr="2263BBF1">
        <w:rPr>
          <w:noProof/>
          <w:lang w:eastAsia="fr-FR"/>
        </w:rPr>
        <w:t xml:space="preserve"> cases continued being reduced at first, second and third instance (-9%, -9.1% and -9.4%)</w:t>
      </w:r>
      <w:r w:rsidRPr="2263BBF1">
        <w:rPr>
          <w:noProof/>
          <w:vertAlign w:val="superscript"/>
          <w:lang w:eastAsia="fr-FR"/>
        </w:rPr>
        <w:footnoteReference w:id="47"/>
      </w:r>
      <w:r w:rsidRPr="2263BBF1">
        <w:rPr>
          <w:noProof/>
          <w:lang w:eastAsia="fr-FR"/>
        </w:rPr>
        <w:t>. In relation to the 2019 baseline, the Government reported a 94.9% reduction of the backlog in pending civil cases, and a 99.6% reduction in pending appeals by June 2025, in line with previous RRP targets</w:t>
      </w:r>
      <w:r w:rsidRPr="2263BBF1">
        <w:rPr>
          <w:noProof/>
          <w:vertAlign w:val="superscript"/>
          <w:lang w:eastAsia="fr-FR"/>
        </w:rPr>
        <w:footnoteReference w:id="48"/>
      </w:r>
      <w:r w:rsidRPr="2263BBF1">
        <w:rPr>
          <w:noProof/>
          <w:lang w:eastAsia="fr-FR"/>
        </w:rPr>
        <w:t xml:space="preserve">. Work is ongoing to achieve the broader June 2026 targets, which aim for a </w:t>
      </w:r>
      <w:bookmarkStart w:id="10" w:name="_Hlk221049861"/>
      <w:r w:rsidRPr="2263BBF1">
        <w:rPr>
          <w:noProof/>
          <w:lang w:eastAsia="fr-FR"/>
        </w:rPr>
        <w:t xml:space="preserve">90% reduction in pending civil cases from 2017-2022 and pending </w:t>
      </w:r>
      <w:r w:rsidRPr="00C94C6D">
        <w:rPr>
          <w:noProof/>
          <w:lang w:eastAsia="fr-FR"/>
        </w:rPr>
        <w:t>appeals from 2018-2022</w:t>
      </w:r>
      <w:r w:rsidRPr="00C94C6D">
        <w:rPr>
          <w:noProof/>
          <w:vertAlign w:val="superscript"/>
          <w:lang w:eastAsia="fr-FR"/>
        </w:rPr>
        <w:footnoteReference w:id="49"/>
      </w:r>
      <w:r w:rsidRPr="00C94C6D">
        <w:rPr>
          <w:noProof/>
          <w:lang w:eastAsia="fr-FR"/>
        </w:rPr>
        <w:t xml:space="preserve">. </w:t>
      </w:r>
      <w:bookmarkEnd w:id="10"/>
      <w:r w:rsidRPr="00C94C6D">
        <w:rPr>
          <w:noProof/>
          <w:lang w:eastAsia="fr-FR"/>
        </w:rPr>
        <w:t xml:space="preserve">For </w:t>
      </w:r>
      <w:r w:rsidRPr="00D92D10">
        <w:rPr>
          <w:noProof/>
          <w:lang w:eastAsia="fr-FR"/>
        </w:rPr>
        <w:t>first-instance</w:t>
      </w:r>
      <w:r w:rsidRPr="00C94C6D">
        <w:rPr>
          <w:noProof/>
          <w:lang w:eastAsia="fr-FR"/>
        </w:rPr>
        <w:t xml:space="preserve"> criminal cases, the clearance rate was 99.5% (</w:t>
      </w:r>
      <w:r w:rsidRPr="007C4638">
        <w:rPr>
          <w:noProof/>
          <w:lang w:eastAsia="fr-FR"/>
        </w:rPr>
        <w:t>111%</w:t>
      </w:r>
      <w:r w:rsidRPr="00C94C6D">
        <w:rPr>
          <w:noProof/>
          <w:lang w:eastAsia="fr-FR"/>
        </w:rPr>
        <w:t xml:space="preserve"> in 2023)</w:t>
      </w:r>
      <w:r w:rsidRPr="2263BBF1">
        <w:rPr>
          <w:noProof/>
          <w:vertAlign w:val="superscript"/>
          <w:lang w:eastAsia="fr-FR"/>
        </w:rPr>
        <w:footnoteReference w:id="50"/>
      </w:r>
      <w:r w:rsidRPr="00C94C6D">
        <w:rPr>
          <w:noProof/>
          <w:lang w:eastAsia="fr-FR"/>
        </w:rPr>
        <w:t xml:space="preserve"> and the number of pending cases decreased by 1.1%</w:t>
      </w:r>
      <w:r w:rsidRPr="00C94C6D">
        <w:rPr>
          <w:noProof/>
          <w:vertAlign w:val="superscript"/>
          <w:lang w:eastAsia="fr-FR"/>
        </w:rPr>
        <w:footnoteReference w:id="51"/>
      </w:r>
      <w:r w:rsidRPr="00C94C6D">
        <w:rPr>
          <w:noProof/>
          <w:lang w:eastAsia="fr-FR"/>
        </w:rPr>
        <w:t xml:space="preserve">. For </w:t>
      </w:r>
      <w:r w:rsidRPr="00916739">
        <w:rPr>
          <w:noProof/>
          <w:lang w:eastAsia="fr-FR"/>
        </w:rPr>
        <w:t>first-instance</w:t>
      </w:r>
      <w:r w:rsidRPr="00C94C6D">
        <w:rPr>
          <w:noProof/>
          <w:lang w:eastAsia="fr-FR"/>
        </w:rPr>
        <w:t xml:space="preserve"> administrative</w:t>
      </w:r>
      <w:r w:rsidRPr="2263BBF1">
        <w:rPr>
          <w:noProof/>
          <w:lang w:eastAsia="fr-FR"/>
        </w:rPr>
        <w:t xml:space="preserve"> cases, the clearance rate was equal to </w:t>
      </w:r>
      <w:r w:rsidRPr="00D92D10">
        <w:rPr>
          <w:noProof/>
          <w:lang w:eastAsia="fr-FR"/>
        </w:rPr>
        <w:t>125</w:t>
      </w:r>
      <w:r w:rsidRPr="2263BBF1">
        <w:rPr>
          <w:noProof/>
          <w:lang w:eastAsia="fr-FR"/>
        </w:rPr>
        <w:t>%</w:t>
      </w:r>
      <w:r w:rsidRPr="2263BBF1">
        <w:rPr>
          <w:noProof/>
          <w:vertAlign w:val="superscript"/>
          <w:lang w:eastAsia="fr-FR"/>
        </w:rPr>
        <w:footnoteReference w:id="52"/>
      </w:r>
      <w:r w:rsidRPr="2263BBF1">
        <w:rPr>
          <w:noProof/>
          <w:lang w:eastAsia="fr-FR"/>
        </w:rPr>
        <w:t xml:space="preserve"> and the number of pending cases decreased by some </w:t>
      </w:r>
      <w:r w:rsidRPr="00D92D10">
        <w:rPr>
          <w:noProof/>
          <w:lang w:eastAsia="fr-FR"/>
        </w:rPr>
        <w:t>12.5</w:t>
      </w:r>
      <w:r w:rsidRPr="2263BBF1">
        <w:rPr>
          <w:noProof/>
          <w:lang w:eastAsia="fr-FR"/>
        </w:rPr>
        <w:t>%</w:t>
      </w:r>
      <w:r w:rsidRPr="2263BBF1">
        <w:rPr>
          <w:noProof/>
          <w:vertAlign w:val="superscript"/>
          <w:lang w:eastAsia="fr-FR"/>
        </w:rPr>
        <w:footnoteReference w:id="53"/>
      </w:r>
      <w:r w:rsidRPr="2263BBF1">
        <w:rPr>
          <w:noProof/>
          <w:lang w:eastAsia="fr-FR"/>
        </w:rPr>
        <w:t>. Tax courts reported a clearance rate in 2024 of 90.5% in first instance and of 126.5% in appeal</w:t>
      </w:r>
      <w:r w:rsidRPr="2263BBF1">
        <w:rPr>
          <w:noProof/>
          <w:vertAlign w:val="superscript"/>
          <w:lang w:eastAsia="fr-FR"/>
        </w:rPr>
        <w:footnoteReference w:id="54"/>
      </w:r>
      <w:r w:rsidRPr="2263BBF1">
        <w:rPr>
          <w:noProof/>
          <w:lang w:eastAsia="fr-FR"/>
        </w:rPr>
        <w:t>. As regards audit courts, the clearance rate in 2024 was 98%</w:t>
      </w:r>
      <w:bookmarkEnd w:id="9"/>
      <w:r w:rsidRPr="2263BBF1">
        <w:rPr>
          <w:noProof/>
          <w:vertAlign w:val="superscript"/>
          <w:lang w:eastAsia="fr-FR"/>
        </w:rPr>
        <w:footnoteReference w:id="55"/>
      </w:r>
      <w:r w:rsidRPr="2263BBF1">
        <w:rPr>
          <w:noProof/>
          <w:lang w:eastAsia="fr-FR"/>
        </w:rPr>
        <w:t xml:space="preserve">. </w:t>
      </w:r>
      <w:r w:rsidRPr="0FF586BA">
        <w:rPr>
          <w:noProof/>
          <w:lang w:eastAsia="fr-FR"/>
        </w:rPr>
        <w:t>With RRP support, extraordinary measures were adopted to address the backlog in civil cases in specific geographical areas</w:t>
      </w:r>
      <w:r w:rsidRPr="0FF586BA">
        <w:rPr>
          <w:noProof/>
          <w:vertAlign w:val="superscript"/>
          <w:lang w:eastAsia="fr-FR"/>
        </w:rPr>
        <w:footnoteReference w:id="56"/>
      </w:r>
      <w:r w:rsidRPr="0FF586BA">
        <w:rPr>
          <w:noProof/>
          <w:lang w:eastAsia="fr-FR"/>
        </w:rPr>
        <w:t xml:space="preserve">. </w:t>
      </w:r>
    </w:p>
    <w:p w14:paraId="2943FA47" w14:textId="77777777" w:rsidR="00490F94" w:rsidRPr="00703B6E" w:rsidRDefault="00490F94" w:rsidP="00490F94">
      <w:pPr>
        <w:rPr>
          <w:noProof/>
          <w:lang w:eastAsia="fr-FR"/>
        </w:rPr>
      </w:pPr>
      <w:r w:rsidRPr="0FF586BA">
        <w:rPr>
          <w:b/>
          <w:noProof/>
          <w:lang w:eastAsia="fr-FR"/>
        </w:rPr>
        <w:t>The reform of mediation continues being implemented, with the aim of reducing the number of legal proceedings through increased uptake of alternative dispute resolution tools</w:t>
      </w:r>
      <w:r w:rsidRPr="0FF586BA">
        <w:rPr>
          <w:noProof/>
          <w:lang w:eastAsia="fr-FR"/>
        </w:rPr>
        <w:t xml:space="preserve">. While preliminary data points to a slight increase in </w:t>
      </w:r>
      <w:r w:rsidRPr="0FF586BA" w:rsidDel="00F75769">
        <w:rPr>
          <w:noProof/>
          <w:lang w:eastAsia="fr-FR"/>
        </w:rPr>
        <w:t>take</w:t>
      </w:r>
      <w:r w:rsidRPr="0FF586BA">
        <w:rPr>
          <w:noProof/>
          <w:lang w:eastAsia="fr-FR"/>
        </w:rPr>
        <w:t>-up and success rates,</w:t>
      </w:r>
      <w:r w:rsidRPr="0FF586BA">
        <w:rPr>
          <w:noProof/>
        </w:rPr>
        <w:t xml:space="preserve"> </w:t>
      </w:r>
      <w:r>
        <w:rPr>
          <w:noProof/>
        </w:rPr>
        <w:t>the reform’s</w:t>
      </w:r>
      <w:r w:rsidRPr="0FF586BA">
        <w:rPr>
          <w:noProof/>
          <w:lang w:eastAsia="fr-FR"/>
        </w:rPr>
        <w:t xml:space="preserve"> impact remains to be assessed</w:t>
      </w:r>
      <w:r w:rsidRPr="0FF586BA">
        <w:rPr>
          <w:noProof/>
          <w:vertAlign w:val="superscript"/>
          <w:lang w:eastAsia="fr-FR"/>
        </w:rPr>
        <w:footnoteReference w:id="57"/>
      </w:r>
      <w:r w:rsidRPr="0FF586BA">
        <w:rPr>
          <w:noProof/>
          <w:lang w:eastAsia="fr-FR"/>
        </w:rPr>
        <w:t>. Business stakeholders highlight the potential of mediation to contribute effectively to reducing litigation, and call for further measures to promote its uptake, including by promoting training and information measures aimed at judges, as well as at economic operators and citizens</w:t>
      </w:r>
      <w:r w:rsidRPr="0FF586BA">
        <w:rPr>
          <w:noProof/>
          <w:vertAlign w:val="superscript"/>
          <w:lang w:eastAsia="fr-FR"/>
        </w:rPr>
        <w:footnoteReference w:id="58"/>
      </w:r>
      <w:r w:rsidRPr="0FF586BA">
        <w:rPr>
          <w:noProof/>
          <w:lang w:eastAsia="fr-FR"/>
        </w:rPr>
        <w:t xml:space="preserve">.  </w:t>
      </w:r>
    </w:p>
    <w:p w14:paraId="2FE54717" w14:textId="56169048" w:rsidR="00490F94" w:rsidRPr="00490F94" w:rsidRDefault="00490F94" w:rsidP="00AB11EB">
      <w:pPr>
        <w:pStyle w:val="Heading1"/>
        <w:numPr>
          <w:ilvl w:val="0"/>
          <w:numId w:val="37"/>
        </w:numPr>
        <w:spacing w:before="0"/>
        <w:rPr>
          <w:noProof/>
          <w:u w:val="single"/>
        </w:rPr>
      </w:pPr>
      <w:r w:rsidRPr="00490F94">
        <w:rPr>
          <w:noProof/>
          <w:u w:val="single"/>
        </w:rPr>
        <w:t>Anti-Corruption Framework</w:t>
      </w:r>
      <w:r w:rsidRPr="00490F94" w:rsidDel="00D67844">
        <w:rPr>
          <w:noProof/>
          <w:u w:val="single"/>
        </w:rPr>
        <w:t xml:space="preserve"> </w:t>
      </w:r>
    </w:p>
    <w:p w14:paraId="09E51A45" w14:textId="17BBBB3E" w:rsidR="00490F94" w:rsidRPr="007C174B" w:rsidRDefault="00490F94" w:rsidP="00490F94">
      <w:pPr>
        <w:rPr>
          <w:noProof/>
          <w:lang w:eastAsia="en-GB"/>
        </w:rPr>
      </w:pPr>
      <w:r w:rsidRPr="3EC889A6">
        <w:rPr>
          <w:b/>
          <w:noProof/>
          <w:lang w:eastAsia="en-GB"/>
        </w:rPr>
        <w:t xml:space="preserve">The perception among experts, citizens and business executives is that the level of corruption in the public sector remains </w:t>
      </w:r>
      <w:r w:rsidR="00576186">
        <w:rPr>
          <w:b/>
          <w:noProof/>
          <w:lang w:eastAsia="en-GB"/>
        </w:rPr>
        <w:t xml:space="preserve">relatively </w:t>
      </w:r>
      <w:r w:rsidRPr="00D71250">
        <w:rPr>
          <w:b/>
          <w:noProof/>
          <w:lang w:eastAsia="en-GB"/>
        </w:rPr>
        <w:t>high</w:t>
      </w:r>
      <w:r w:rsidRPr="3EC889A6">
        <w:rPr>
          <w:b/>
          <w:noProof/>
          <w:lang w:eastAsia="en-GB"/>
        </w:rPr>
        <w:t xml:space="preserve">. </w:t>
      </w:r>
      <w:r w:rsidRPr="3EC889A6">
        <w:rPr>
          <w:noProof/>
          <w:lang w:eastAsia="en-GB"/>
        </w:rPr>
        <w:t xml:space="preserve">In the 2025 Corruption Perceptions Index by Transparency International, Italy scores 53/100 and ranks </w:t>
      </w:r>
      <w:r w:rsidRPr="00D71250">
        <w:rPr>
          <w:noProof/>
          <w:lang w:eastAsia="en-GB"/>
        </w:rPr>
        <w:t>19</w:t>
      </w:r>
      <w:r w:rsidRPr="00D71250">
        <w:rPr>
          <w:noProof/>
          <w:vertAlign w:val="superscript"/>
          <w:lang w:eastAsia="en-GB"/>
        </w:rPr>
        <w:t>th</w:t>
      </w:r>
      <w:r w:rsidRPr="3EC889A6">
        <w:rPr>
          <w:noProof/>
          <w:lang w:eastAsia="en-GB"/>
        </w:rPr>
        <w:t xml:space="preserve"> in the European Union and </w:t>
      </w:r>
      <w:r w:rsidRPr="00D71250">
        <w:rPr>
          <w:noProof/>
          <w:lang w:eastAsia="en-GB"/>
        </w:rPr>
        <w:t>52</w:t>
      </w:r>
      <w:r w:rsidRPr="3EC889A6">
        <w:rPr>
          <w:noProof/>
          <w:vertAlign w:val="superscript"/>
          <w:lang w:eastAsia="en-GB"/>
        </w:rPr>
        <w:t>nd</w:t>
      </w:r>
      <w:r w:rsidRPr="3EC889A6">
        <w:rPr>
          <w:noProof/>
          <w:lang w:eastAsia="en-GB"/>
        </w:rPr>
        <w:t xml:space="preserve"> globally</w:t>
      </w:r>
      <w:r w:rsidRPr="007C174B">
        <w:rPr>
          <w:noProof/>
          <w:szCs w:val="24"/>
          <w:vertAlign w:val="superscript"/>
          <w:lang w:val="en-IE" w:eastAsia="en-GB"/>
        </w:rPr>
        <w:footnoteReference w:id="59"/>
      </w:r>
      <w:r w:rsidRPr="3EC889A6">
        <w:rPr>
          <w:noProof/>
          <w:lang w:eastAsia="en-GB"/>
        </w:rPr>
        <w:t xml:space="preserve">. This perception </w:t>
      </w:r>
      <w:r w:rsidRPr="00D71250">
        <w:rPr>
          <w:noProof/>
          <w:lang w:eastAsia="en-GB"/>
        </w:rPr>
        <w:t>is relatively stable</w:t>
      </w:r>
      <w:r w:rsidRPr="3EC889A6">
        <w:rPr>
          <w:noProof/>
          <w:lang w:eastAsia="en-GB"/>
        </w:rPr>
        <w:t xml:space="preserve"> over the past five years.</w:t>
      </w:r>
      <w:r w:rsidRPr="007C174B">
        <w:rPr>
          <w:noProof/>
          <w:szCs w:val="24"/>
          <w:vertAlign w:val="superscript"/>
          <w:lang w:val="en-IE" w:eastAsia="en-GB"/>
        </w:rPr>
        <w:footnoteReference w:id="60"/>
      </w:r>
      <w:r w:rsidRPr="3EC889A6">
        <w:rPr>
          <w:i/>
          <w:noProof/>
          <w:lang w:eastAsia="en-GB"/>
        </w:rPr>
        <w:t xml:space="preserve"> </w:t>
      </w:r>
      <w:r w:rsidRPr="3EC889A6">
        <w:rPr>
          <w:noProof/>
          <w:lang w:eastAsia="en-GB"/>
        </w:rPr>
        <w:t>The 2026 Special Eurobarometer on Corruption shows that 82% of respondents consider corruption widespread in their country (EU average 71%) and 42% of respondents feel personally affected by corruption in their daily lives (EU average 30%). As regards businesses, 77% of companies consider that corruption is widespread (EU average 65%) and 41% consider that corruption is a problem when doing business (EU average 37%). Furthermore, 43% of respondents</w:t>
      </w:r>
      <w:r w:rsidRPr="3EC889A6">
        <w:rPr>
          <w:b/>
          <w:noProof/>
          <w:lang w:eastAsia="en-GB"/>
        </w:rPr>
        <w:t xml:space="preserve"> </w:t>
      </w:r>
      <w:r w:rsidRPr="3EC889A6">
        <w:rPr>
          <w:noProof/>
          <w:lang w:eastAsia="en-GB"/>
        </w:rPr>
        <w:t>find that there are enough successful prosecutions to deter people from corrupt practices (EU average 38%), while 47% of companies believe that people and businesses caught for bribing a senior official are appropriately punished (EU average 31%)</w:t>
      </w:r>
      <w:r w:rsidRPr="007C174B">
        <w:rPr>
          <w:noProof/>
          <w:szCs w:val="24"/>
          <w:vertAlign w:val="superscript"/>
          <w:lang w:val="en-IE" w:eastAsia="en-GB"/>
        </w:rPr>
        <w:footnoteReference w:id="61"/>
      </w:r>
      <w:r w:rsidRPr="3EC889A6">
        <w:rPr>
          <w:noProof/>
          <w:lang w:eastAsia="en-GB"/>
        </w:rPr>
        <w:t>.</w:t>
      </w:r>
    </w:p>
    <w:p w14:paraId="352D8589" w14:textId="77777777" w:rsidR="00490F94" w:rsidRPr="00703B6E" w:rsidRDefault="00490F94" w:rsidP="00490F94">
      <w:pPr>
        <w:rPr>
          <w:noProof/>
          <w:lang w:val="en-IE" w:eastAsia="fr-FR"/>
        </w:rPr>
      </w:pPr>
      <w:r w:rsidRPr="0FF586BA">
        <w:rPr>
          <w:b/>
          <w:noProof/>
          <w:lang w:val="en-IE" w:eastAsia="fr-FR"/>
        </w:rPr>
        <w:t xml:space="preserve">A new anti-corruption strategy was adopted for the years 2026-2028. </w:t>
      </w:r>
      <w:r w:rsidRPr="0FF586BA">
        <w:rPr>
          <w:noProof/>
          <w:lang w:val="en-IE" w:eastAsia="fr-FR"/>
        </w:rPr>
        <w:t>In January 2026, the National Anti-Corruption Authority (ANAC) adopted a national anti-corruption plan which includes, for the first time, a multiannual strategy for the prevention of corruption and the promotion of transparency and integrity for the years 2026-2028</w:t>
      </w:r>
      <w:r w:rsidRPr="0FF586BA">
        <w:rPr>
          <w:rStyle w:val="FootnoteReference"/>
          <w:noProof/>
          <w:lang w:val="en-IE" w:eastAsia="fr-FR"/>
        </w:rPr>
        <w:footnoteReference w:id="62"/>
      </w:r>
      <w:r w:rsidRPr="0FF586BA">
        <w:rPr>
          <w:noProof/>
          <w:lang w:val="en-IE" w:eastAsia="fr-FR"/>
        </w:rPr>
        <w:t xml:space="preserve">. The national anti-corruption plan focuses on public contracts, ineligibility and incompatibilities for public officials, and transparency in the public administration. The multiannual strategy comprises a list of actions linked to milestones, targets and indicators. </w:t>
      </w:r>
    </w:p>
    <w:p w14:paraId="2E68A2A6" w14:textId="3069F5D0" w:rsidR="00490F94" w:rsidRPr="0002081B" w:rsidRDefault="00490F94" w:rsidP="00490F94">
      <w:pPr>
        <w:rPr>
          <w:noProof/>
          <w:lang w:eastAsia="fr-FR"/>
        </w:rPr>
      </w:pPr>
      <w:r>
        <w:rPr>
          <w:b/>
          <w:bCs/>
          <w:noProof/>
          <w:lang w:eastAsia="fr-FR"/>
        </w:rPr>
        <w:t>The criminal law framework to combat corruption has been stabilised, with the</w:t>
      </w:r>
      <w:r w:rsidRPr="249768F3">
        <w:rPr>
          <w:b/>
          <w:bCs/>
          <w:noProof/>
          <w:lang w:eastAsia="fr-FR"/>
        </w:rPr>
        <w:t xml:space="preserve"> Constitutional Court rul</w:t>
      </w:r>
      <w:r>
        <w:rPr>
          <w:b/>
          <w:bCs/>
          <w:noProof/>
          <w:lang w:eastAsia="fr-FR"/>
        </w:rPr>
        <w:t>ing</w:t>
      </w:r>
      <w:r w:rsidRPr="249768F3">
        <w:rPr>
          <w:b/>
          <w:bCs/>
          <w:noProof/>
          <w:lang w:eastAsia="fr-FR"/>
        </w:rPr>
        <w:t xml:space="preserve"> that the law restricting the scope of </w:t>
      </w:r>
      <w:r>
        <w:rPr>
          <w:b/>
          <w:bCs/>
          <w:noProof/>
          <w:lang w:eastAsia="fr-FR"/>
        </w:rPr>
        <w:t xml:space="preserve">the offence of </w:t>
      </w:r>
      <w:r w:rsidRPr="249768F3">
        <w:rPr>
          <w:b/>
          <w:bCs/>
          <w:noProof/>
          <w:lang w:eastAsia="fr-FR"/>
        </w:rPr>
        <w:t>trading in influence is not in breach of the Constitution</w:t>
      </w:r>
      <w:r w:rsidRPr="00DF6018">
        <w:rPr>
          <w:b/>
          <w:bCs/>
          <w:noProof/>
          <w:lang w:eastAsia="fr-FR"/>
        </w:rPr>
        <w:t>.</w:t>
      </w:r>
      <w:r w:rsidRPr="249768F3">
        <w:rPr>
          <w:b/>
          <w:bCs/>
          <w:noProof/>
          <w:lang w:eastAsia="fr-FR"/>
        </w:rPr>
        <w:t xml:space="preserve"> </w:t>
      </w:r>
      <w:r>
        <w:rPr>
          <w:noProof/>
          <w:lang w:eastAsia="fr-FR"/>
        </w:rPr>
        <w:t xml:space="preserve">In December 2025, the Constitutional Court </w:t>
      </w:r>
      <w:r w:rsidRPr="00321384">
        <w:rPr>
          <w:noProof/>
          <w:lang w:eastAsia="fr-FR"/>
        </w:rPr>
        <w:t>rul</w:t>
      </w:r>
      <w:r>
        <w:rPr>
          <w:noProof/>
          <w:lang w:eastAsia="fr-FR"/>
        </w:rPr>
        <w:t xml:space="preserve">ed </w:t>
      </w:r>
      <w:r w:rsidRPr="00321384">
        <w:rPr>
          <w:noProof/>
          <w:lang w:eastAsia="fr-FR"/>
        </w:rPr>
        <w:t>that the law restricting the scope of the offence of trading in influence is not in breach of the Constitution</w:t>
      </w:r>
      <w:r>
        <w:rPr>
          <w:noProof/>
          <w:lang w:eastAsia="fr-FR"/>
        </w:rPr>
        <w:t xml:space="preserve">. </w:t>
      </w:r>
      <w:r w:rsidRPr="249768F3">
        <w:rPr>
          <w:noProof/>
          <w:lang w:eastAsia="fr-FR"/>
        </w:rPr>
        <w:t>At the same time, the Court noted th</w:t>
      </w:r>
      <w:r>
        <w:rPr>
          <w:noProof/>
          <w:lang w:eastAsia="fr-FR"/>
        </w:rPr>
        <w:t>at introducing</w:t>
      </w:r>
      <w:r w:rsidRPr="249768F3">
        <w:rPr>
          <w:noProof/>
          <w:lang w:eastAsia="fr-FR"/>
        </w:rPr>
        <w:t xml:space="preserve"> a comprehensive framework on interest representation</w:t>
      </w:r>
      <w:r w:rsidRPr="249768F3">
        <w:rPr>
          <w:noProof/>
          <w:lang w:val="en-IE" w:eastAsia="fr-FR"/>
        </w:rPr>
        <w:t xml:space="preserve"> could help to</w:t>
      </w:r>
      <w:r w:rsidRPr="249768F3">
        <w:rPr>
          <w:noProof/>
          <w:lang w:eastAsia="fr-FR"/>
        </w:rPr>
        <w:t xml:space="preserve"> distinguish legitimate forms of interest representation from criminal conducts (trading in influence)</w:t>
      </w:r>
      <w:r w:rsidRPr="249768F3">
        <w:rPr>
          <w:rStyle w:val="FootnoteReference"/>
          <w:noProof/>
          <w:lang w:eastAsia="fr-FR"/>
        </w:rPr>
        <w:footnoteReference w:id="63"/>
      </w:r>
      <w:r w:rsidRPr="249768F3">
        <w:rPr>
          <w:noProof/>
          <w:lang w:eastAsia="fr-FR"/>
        </w:rPr>
        <w:t>. Alongside the repeal of the offence of abuse of office</w:t>
      </w:r>
      <w:r w:rsidR="000D0A27" w:rsidRPr="00E564E2">
        <w:rPr>
          <w:noProof/>
          <w:lang w:eastAsia="fr-FR"/>
        </w:rPr>
        <w:t xml:space="preserve">, </w:t>
      </w:r>
      <w:r w:rsidR="000D0A27" w:rsidRPr="00C77931">
        <w:rPr>
          <w:noProof/>
          <w:lang w:eastAsia="fr-FR"/>
        </w:rPr>
        <w:t>which in May 2025 was also held by the Constitutional Court not to be in breach of the Constitution</w:t>
      </w:r>
      <w:r w:rsidR="000D0A27" w:rsidRPr="00E564E2">
        <w:rPr>
          <w:noProof/>
          <w:lang w:eastAsia="fr-FR"/>
        </w:rPr>
        <w:t>,</w:t>
      </w:r>
      <w:r w:rsidRPr="249768F3">
        <w:rPr>
          <w:noProof/>
          <w:lang w:eastAsia="fr-FR"/>
        </w:rPr>
        <w:t xml:space="preserve"> and the restriction in scope of the offence of trading in influence</w:t>
      </w:r>
      <w:r w:rsidRPr="007C4638">
        <w:rPr>
          <w:rStyle w:val="FootnoteReference"/>
          <w:noProof/>
          <w:lang w:eastAsia="fr-FR"/>
        </w:rPr>
        <w:footnoteReference w:id="64"/>
      </w:r>
      <w:r w:rsidRPr="249768F3">
        <w:rPr>
          <w:noProof/>
          <w:lang w:eastAsia="fr-FR"/>
        </w:rPr>
        <w:t xml:space="preserve">, a new offence of embezzlement </w:t>
      </w:r>
      <w:r>
        <w:rPr>
          <w:noProof/>
          <w:lang w:eastAsia="fr-FR"/>
        </w:rPr>
        <w:t>had been</w:t>
      </w:r>
      <w:r w:rsidRPr="249768F3">
        <w:rPr>
          <w:noProof/>
          <w:lang w:eastAsia="fr-FR"/>
        </w:rPr>
        <w:t xml:space="preserve"> introduced in 2024 to sanction unlawful conduct in the management of public money</w:t>
      </w:r>
      <w:r w:rsidRPr="249768F3">
        <w:rPr>
          <w:rStyle w:val="FootnoteReference"/>
          <w:noProof/>
          <w:lang w:eastAsia="fr-FR"/>
        </w:rPr>
        <w:footnoteReference w:id="65"/>
      </w:r>
      <w:r w:rsidRPr="249768F3">
        <w:rPr>
          <w:noProof/>
          <w:lang w:eastAsia="fr-FR"/>
        </w:rPr>
        <w:t xml:space="preserve">. </w:t>
      </w:r>
      <w:r>
        <w:rPr>
          <w:noProof/>
          <w:lang w:eastAsia="fr-FR"/>
        </w:rPr>
        <w:t>In light of the revised criminal law framework</w:t>
      </w:r>
      <w:r>
        <w:rPr>
          <w:rStyle w:val="FootnoteReference"/>
          <w:noProof/>
          <w:lang w:eastAsia="fr-FR"/>
        </w:rPr>
        <w:footnoteReference w:id="66"/>
      </w:r>
      <w:r>
        <w:rPr>
          <w:noProof/>
          <w:lang w:eastAsia="fr-FR"/>
        </w:rPr>
        <w:t>, c</w:t>
      </w:r>
      <w:r w:rsidRPr="249768F3">
        <w:rPr>
          <w:noProof/>
          <w:lang w:eastAsia="fr-FR"/>
        </w:rPr>
        <w:t>ivil society</w:t>
      </w:r>
      <w:r w:rsidRPr="249768F3">
        <w:rPr>
          <w:rStyle w:val="FootnoteReference"/>
          <w:noProof/>
          <w:lang w:eastAsia="fr-FR"/>
        </w:rPr>
        <w:footnoteReference w:id="67"/>
      </w:r>
      <w:r w:rsidRPr="249768F3">
        <w:rPr>
          <w:noProof/>
          <w:lang w:eastAsia="fr-FR"/>
        </w:rPr>
        <w:t>, judicial actors</w:t>
      </w:r>
      <w:r w:rsidRPr="249768F3">
        <w:rPr>
          <w:rStyle w:val="FootnoteReference"/>
          <w:noProof/>
          <w:lang w:eastAsia="fr-FR"/>
        </w:rPr>
        <w:footnoteReference w:id="68"/>
      </w:r>
      <w:r w:rsidRPr="249768F3">
        <w:rPr>
          <w:noProof/>
          <w:lang w:eastAsia="fr-FR"/>
        </w:rPr>
        <w:t xml:space="preserve"> and ANAC</w:t>
      </w:r>
      <w:r w:rsidRPr="249768F3">
        <w:rPr>
          <w:rStyle w:val="FootnoteReference"/>
          <w:noProof/>
          <w:lang w:eastAsia="fr-FR"/>
        </w:rPr>
        <w:footnoteReference w:id="69"/>
      </w:r>
      <w:r w:rsidRPr="249768F3">
        <w:rPr>
          <w:noProof/>
          <w:lang w:eastAsia="fr-FR"/>
        </w:rPr>
        <w:t xml:space="preserve"> have </w:t>
      </w:r>
      <w:r>
        <w:rPr>
          <w:noProof/>
          <w:lang w:eastAsia="fr-FR"/>
        </w:rPr>
        <w:t>called for the introduction of</w:t>
      </w:r>
      <w:r w:rsidRPr="249768F3">
        <w:rPr>
          <w:noProof/>
          <w:lang w:eastAsia="fr-FR"/>
        </w:rPr>
        <w:t xml:space="preserve"> additional administrative or disciplinary measures </w:t>
      </w:r>
      <w:r>
        <w:rPr>
          <w:noProof/>
          <w:lang w:eastAsia="fr-FR"/>
        </w:rPr>
        <w:t>to</w:t>
      </w:r>
      <w:r w:rsidRPr="249768F3">
        <w:rPr>
          <w:noProof/>
          <w:lang w:eastAsia="fr-FR"/>
        </w:rPr>
        <w:t xml:space="preserve"> </w:t>
      </w:r>
      <w:r>
        <w:rPr>
          <w:noProof/>
          <w:lang w:eastAsia="fr-FR"/>
        </w:rPr>
        <w:t>strengthen</w:t>
      </w:r>
      <w:r w:rsidRPr="249768F3">
        <w:rPr>
          <w:noProof/>
          <w:lang w:eastAsia="fr-FR"/>
        </w:rPr>
        <w:t xml:space="preserve"> the overall framework to combat corruption in Italy. </w:t>
      </w:r>
    </w:p>
    <w:p w14:paraId="7F3497E3" w14:textId="77777777" w:rsidR="00490F94" w:rsidRPr="0002081B" w:rsidRDefault="00490F94" w:rsidP="00490F94">
      <w:pPr>
        <w:rPr>
          <w:noProof/>
          <w:lang w:eastAsia="fr-FR"/>
        </w:rPr>
      </w:pPr>
      <w:r w:rsidRPr="0002081B">
        <w:rPr>
          <w:b/>
          <w:noProof/>
          <w:lang w:eastAsia="fr-FR"/>
        </w:rPr>
        <w:t xml:space="preserve">The </w:t>
      </w:r>
      <w:r w:rsidRPr="00E87089">
        <w:rPr>
          <w:b/>
          <w:noProof/>
          <w:lang w:eastAsia="fr-FR"/>
        </w:rPr>
        <w:t>pace</w:t>
      </w:r>
      <w:r>
        <w:rPr>
          <w:b/>
          <w:noProof/>
          <w:lang w:eastAsia="fr-FR"/>
        </w:rPr>
        <w:t xml:space="preserve"> of</w:t>
      </w:r>
      <w:r w:rsidRPr="0002081B">
        <w:rPr>
          <w:b/>
          <w:noProof/>
          <w:lang w:eastAsia="fr-FR"/>
        </w:rPr>
        <w:t xml:space="preserve"> convictions </w:t>
      </w:r>
      <w:r>
        <w:rPr>
          <w:b/>
          <w:noProof/>
          <w:lang w:eastAsia="fr-FR"/>
        </w:rPr>
        <w:t>in</w:t>
      </w:r>
      <w:r w:rsidRPr="0002081B">
        <w:rPr>
          <w:b/>
          <w:noProof/>
          <w:lang w:eastAsia="fr-FR"/>
        </w:rPr>
        <w:t xml:space="preserve"> corruption </w:t>
      </w:r>
      <w:r>
        <w:rPr>
          <w:b/>
          <w:noProof/>
          <w:lang w:eastAsia="fr-FR"/>
        </w:rPr>
        <w:t>cases was maintained</w:t>
      </w:r>
      <w:r w:rsidRPr="0002081B">
        <w:rPr>
          <w:noProof/>
          <w:lang w:eastAsia="fr-FR"/>
        </w:rPr>
        <w:t xml:space="preserve">. In 2024, </w:t>
      </w:r>
      <w:r w:rsidRPr="0FF586BA">
        <w:rPr>
          <w:noProof/>
          <w:lang w:eastAsia="fr-FR"/>
        </w:rPr>
        <w:t>the authorities registered 1 673 criminal convictions for individuals (1 709</w:t>
      </w:r>
      <w:r>
        <w:rPr>
          <w:noProof/>
          <w:lang w:eastAsia="fr-FR"/>
        </w:rPr>
        <w:t xml:space="preserve"> in 2023</w:t>
      </w:r>
      <w:r w:rsidRPr="0FF586BA">
        <w:rPr>
          <w:noProof/>
          <w:lang w:eastAsia="fr-FR"/>
        </w:rPr>
        <w:t>) and 39 for legal persons (31</w:t>
      </w:r>
      <w:r>
        <w:rPr>
          <w:noProof/>
          <w:lang w:eastAsia="fr-FR"/>
        </w:rPr>
        <w:t xml:space="preserve"> in 2023</w:t>
      </w:r>
      <w:r w:rsidRPr="0FF586BA">
        <w:rPr>
          <w:noProof/>
          <w:lang w:eastAsia="fr-FR"/>
        </w:rPr>
        <w:t xml:space="preserve">). The rate of suspended convictions (60% in 2024) remained </w:t>
      </w:r>
      <w:r>
        <w:rPr>
          <w:noProof/>
          <w:lang w:eastAsia="fr-FR"/>
        </w:rPr>
        <w:t>as high as in</w:t>
      </w:r>
      <w:r w:rsidRPr="0FF586BA">
        <w:rPr>
          <w:noProof/>
          <w:lang w:eastAsia="fr-FR"/>
        </w:rPr>
        <w:t xml:space="preserve"> previous years</w:t>
      </w:r>
      <w:r w:rsidRPr="0002081B">
        <w:rPr>
          <w:rStyle w:val="FootnoteReference"/>
          <w:noProof/>
          <w:lang w:eastAsia="fr-FR"/>
        </w:rPr>
        <w:footnoteReference w:id="70"/>
      </w:r>
      <w:r w:rsidRPr="0002081B">
        <w:rPr>
          <w:noProof/>
          <w:lang w:eastAsia="fr-FR"/>
        </w:rPr>
        <w:t xml:space="preserve">. </w:t>
      </w:r>
      <w:r w:rsidRPr="0FF586BA">
        <w:rPr>
          <w:noProof/>
        </w:rPr>
        <w:t xml:space="preserve">The European Public Prosecutor’s Office (EPPO) </w:t>
      </w:r>
      <w:r w:rsidRPr="00CF4A56">
        <w:rPr>
          <w:noProof/>
        </w:rPr>
        <w:t>investigated 24 corruption</w:t>
      </w:r>
      <w:r w:rsidRPr="0FF586BA">
        <w:rPr>
          <w:noProof/>
        </w:rPr>
        <w:t xml:space="preserve"> cases in 2025</w:t>
      </w:r>
      <w:r w:rsidRPr="0FF586BA">
        <w:rPr>
          <w:noProof/>
          <w:vertAlign w:val="superscript"/>
          <w:lang w:eastAsia="fr-FR"/>
        </w:rPr>
        <w:footnoteReference w:id="71"/>
      </w:r>
      <w:r w:rsidRPr="0FF586BA">
        <w:rPr>
          <w:noProof/>
        </w:rPr>
        <w:t>.</w:t>
      </w:r>
      <w:r w:rsidRPr="0FF586BA">
        <w:rPr>
          <w:noProof/>
          <w:lang w:eastAsia="fr-FR"/>
        </w:rPr>
        <w:t xml:space="preserve"> The ultimate beneficial ownership register was reformed in January 2026</w:t>
      </w:r>
      <w:r w:rsidRPr="0FF586BA">
        <w:rPr>
          <w:rStyle w:val="FootnoteReference"/>
          <w:noProof/>
          <w:lang w:eastAsia="fr-FR"/>
        </w:rPr>
        <w:footnoteReference w:id="72"/>
      </w:r>
      <w:r w:rsidRPr="0FF586BA">
        <w:rPr>
          <w:noProof/>
          <w:lang w:eastAsia="fr-FR"/>
        </w:rPr>
        <w:t>, but remains suspended</w:t>
      </w:r>
      <w:r w:rsidRPr="0FF586BA">
        <w:rPr>
          <w:rStyle w:val="FootnoteReference"/>
          <w:noProof/>
          <w:lang w:eastAsia="fr-FR"/>
        </w:rPr>
        <w:footnoteReference w:id="73"/>
      </w:r>
      <w:r w:rsidRPr="0FF586BA">
        <w:rPr>
          <w:noProof/>
          <w:lang w:eastAsia="fr-FR"/>
        </w:rPr>
        <w:t xml:space="preserve">. </w:t>
      </w:r>
      <w:r w:rsidRPr="007C4638">
        <w:rPr>
          <w:noProof/>
          <w:lang w:eastAsia="fr-FR"/>
        </w:rPr>
        <w:t>The human, financial and technical resources of the investigation and prosecution services dealing with corruption offences remained stable</w:t>
      </w:r>
      <w:r>
        <w:rPr>
          <w:rStyle w:val="FootnoteReference"/>
          <w:noProof/>
          <w:lang w:eastAsia="fr-FR"/>
        </w:rPr>
        <w:footnoteReference w:id="74"/>
      </w:r>
      <w:r w:rsidRPr="007C4638">
        <w:rPr>
          <w:noProof/>
          <w:lang w:eastAsia="fr-FR"/>
        </w:rPr>
        <w:t>.</w:t>
      </w:r>
      <w:r>
        <w:rPr>
          <w:noProof/>
          <w:lang w:eastAsia="fr-FR"/>
        </w:rPr>
        <w:t xml:space="preserve"> Stakeholders continue to raise a few concerns regarding the lack of enforcement of foreign bribery offences, while authorities refer to the existence of ongoing investigations</w:t>
      </w:r>
      <w:r>
        <w:rPr>
          <w:rStyle w:val="FootnoteReference"/>
          <w:noProof/>
          <w:lang w:eastAsia="fr-FR"/>
        </w:rPr>
        <w:footnoteReference w:id="75"/>
      </w:r>
      <w:r>
        <w:rPr>
          <w:noProof/>
          <w:lang w:eastAsia="fr-FR"/>
        </w:rPr>
        <w:t xml:space="preserve">. </w:t>
      </w:r>
    </w:p>
    <w:p w14:paraId="1FB3DAA6" w14:textId="0A723050" w:rsidR="00490F94" w:rsidRPr="00D547AD" w:rsidRDefault="00490F94" w:rsidP="00490F94">
      <w:pPr>
        <w:rPr>
          <w:noProof/>
          <w:lang w:eastAsia="fr-FR"/>
        </w:rPr>
      </w:pPr>
      <w:r>
        <w:rPr>
          <w:b/>
          <w:bCs/>
          <w:noProof/>
          <w:lang w:eastAsia="fr-FR"/>
        </w:rPr>
        <w:t>Constitutional review is ongoing on t</w:t>
      </w:r>
      <w:r w:rsidRPr="249768F3">
        <w:rPr>
          <w:b/>
          <w:bCs/>
          <w:noProof/>
          <w:lang w:eastAsia="fr-FR"/>
        </w:rPr>
        <w:t xml:space="preserve">he law reforming the Court of Auditors, </w:t>
      </w:r>
      <w:r>
        <w:rPr>
          <w:b/>
          <w:bCs/>
          <w:noProof/>
          <w:lang w:eastAsia="fr-FR"/>
        </w:rPr>
        <w:t>which</w:t>
      </w:r>
      <w:r w:rsidRPr="249768F3">
        <w:rPr>
          <w:b/>
          <w:bCs/>
          <w:noProof/>
          <w:lang w:eastAsia="fr-FR"/>
        </w:rPr>
        <w:t xml:space="preserve"> has extended the list of acts eligible for preventive control by the Court and introduced</w:t>
      </w:r>
      <w:r w:rsidR="00E21E3A">
        <w:rPr>
          <w:b/>
          <w:bCs/>
          <w:noProof/>
          <w:lang w:eastAsia="fr-FR"/>
        </w:rPr>
        <w:t xml:space="preserve">, </w:t>
      </w:r>
      <w:r w:rsidR="004B09D1" w:rsidRPr="003861CD">
        <w:rPr>
          <w:b/>
          <w:noProof/>
          <w:lang w:eastAsia="fr-FR"/>
        </w:rPr>
        <w:t>under certain conditions,</w:t>
      </w:r>
      <w:r w:rsidRPr="249768F3">
        <w:rPr>
          <w:b/>
          <w:bCs/>
          <w:noProof/>
          <w:lang w:eastAsia="fr-FR"/>
        </w:rPr>
        <w:t xml:space="preserve"> a presumption of good faith of office holders. </w:t>
      </w:r>
      <w:r>
        <w:rPr>
          <w:noProof/>
          <w:lang w:eastAsia="fr-FR"/>
        </w:rPr>
        <w:t>P</w:t>
      </w:r>
      <w:r w:rsidRPr="0002081B">
        <w:rPr>
          <w:noProof/>
          <w:lang w:eastAsia="fr-FR"/>
        </w:rPr>
        <w:t xml:space="preserve">ublic authorities that submit award decisions to the Court of Auditors for </w:t>
      </w:r>
      <w:r w:rsidRPr="249768F3">
        <w:rPr>
          <w:i/>
          <w:iCs/>
          <w:noProof/>
          <w:lang w:eastAsia="fr-FR"/>
        </w:rPr>
        <w:t>ex ante</w:t>
      </w:r>
      <w:r w:rsidRPr="0002081B">
        <w:rPr>
          <w:noProof/>
          <w:lang w:eastAsia="fr-FR"/>
        </w:rPr>
        <w:t xml:space="preserve"> review shall not be held liable for the decisions taken if the Court has not pronounced itself on the content of the decision within 30 days (</w:t>
      </w:r>
      <w:r>
        <w:rPr>
          <w:noProof/>
          <w:lang w:eastAsia="fr-FR"/>
        </w:rPr>
        <w:t>extendable</w:t>
      </w:r>
      <w:r w:rsidRPr="0002081B">
        <w:rPr>
          <w:noProof/>
          <w:lang w:eastAsia="fr-FR"/>
        </w:rPr>
        <w:t xml:space="preserve"> up to 90</w:t>
      </w:r>
      <w:r>
        <w:rPr>
          <w:noProof/>
          <w:lang w:eastAsia="fr-FR"/>
        </w:rPr>
        <w:t xml:space="preserve"> days</w:t>
      </w:r>
      <w:r w:rsidRPr="0002081B">
        <w:rPr>
          <w:noProof/>
          <w:lang w:eastAsia="fr-FR"/>
        </w:rPr>
        <w:t xml:space="preserve">). With the reform, this rule </w:t>
      </w:r>
      <w:r w:rsidRPr="00E533A8">
        <w:rPr>
          <w:noProof/>
          <w:lang w:eastAsia="fr-FR"/>
        </w:rPr>
        <w:t>of silent assent</w:t>
      </w:r>
      <w:r w:rsidRPr="0002081B">
        <w:rPr>
          <w:noProof/>
          <w:lang w:eastAsia="fr-FR"/>
        </w:rPr>
        <w:t xml:space="preserve"> has been ex</w:t>
      </w:r>
      <w:r>
        <w:rPr>
          <w:noProof/>
          <w:lang w:eastAsia="fr-FR"/>
        </w:rPr>
        <w:t>pa</w:t>
      </w:r>
      <w:r w:rsidRPr="0002081B">
        <w:rPr>
          <w:noProof/>
          <w:lang w:eastAsia="fr-FR"/>
        </w:rPr>
        <w:t xml:space="preserve">nded to </w:t>
      </w:r>
      <w:r w:rsidRPr="00D71250">
        <w:rPr>
          <w:noProof/>
          <w:lang w:eastAsia="fr-FR"/>
        </w:rPr>
        <w:t>public contracts related to the RRP (mandatory submission) and to decisions by regions and local authorities (optional submission).</w:t>
      </w:r>
      <w:r w:rsidRPr="0002081B">
        <w:rPr>
          <w:noProof/>
          <w:lang w:eastAsia="fr-FR"/>
        </w:rPr>
        <w:t xml:space="preserve"> </w:t>
      </w:r>
      <w:r>
        <w:rPr>
          <w:noProof/>
          <w:lang w:eastAsia="fr-FR"/>
        </w:rPr>
        <w:t xml:space="preserve">Furthermore, the reform </w:t>
      </w:r>
      <w:r w:rsidRPr="00E33EE8">
        <w:rPr>
          <w:noProof/>
          <w:lang w:eastAsia="fr-FR"/>
        </w:rPr>
        <w:t xml:space="preserve">establishes that </w:t>
      </w:r>
      <w:r>
        <w:rPr>
          <w:noProof/>
          <w:lang w:eastAsia="fr-FR"/>
        </w:rPr>
        <w:t>holders</w:t>
      </w:r>
      <w:r w:rsidRPr="00E33EE8">
        <w:rPr>
          <w:noProof/>
          <w:lang w:eastAsia="fr-FR"/>
        </w:rPr>
        <w:t xml:space="preserve"> of political </w:t>
      </w:r>
      <w:r>
        <w:rPr>
          <w:noProof/>
          <w:lang w:eastAsia="fr-FR"/>
        </w:rPr>
        <w:t xml:space="preserve">offices are presumed to act with </w:t>
      </w:r>
      <w:r w:rsidRPr="00E33EE8">
        <w:rPr>
          <w:noProof/>
          <w:lang w:eastAsia="fr-FR"/>
        </w:rPr>
        <w:t xml:space="preserve">good faith </w:t>
      </w:r>
      <w:r>
        <w:rPr>
          <w:noProof/>
          <w:lang w:eastAsia="fr-FR"/>
        </w:rPr>
        <w:t xml:space="preserve">– </w:t>
      </w:r>
      <w:r w:rsidRPr="00E33EE8">
        <w:rPr>
          <w:noProof/>
          <w:lang w:eastAsia="fr-FR"/>
        </w:rPr>
        <w:t xml:space="preserve">until proven </w:t>
      </w:r>
      <w:r>
        <w:rPr>
          <w:noProof/>
          <w:lang w:eastAsia="fr-FR"/>
        </w:rPr>
        <w:t xml:space="preserve">otherwise – </w:t>
      </w:r>
      <w:r w:rsidRPr="00E33EE8">
        <w:rPr>
          <w:noProof/>
          <w:lang w:eastAsia="fr-FR"/>
        </w:rPr>
        <w:t xml:space="preserve">when </w:t>
      </w:r>
      <w:r>
        <w:rPr>
          <w:noProof/>
          <w:lang w:eastAsia="fr-FR"/>
        </w:rPr>
        <w:t>adopting</w:t>
      </w:r>
      <w:r w:rsidRPr="00E33EE8">
        <w:rPr>
          <w:noProof/>
          <w:lang w:eastAsia="fr-FR"/>
        </w:rPr>
        <w:t xml:space="preserve"> acts </w:t>
      </w:r>
      <w:r>
        <w:rPr>
          <w:noProof/>
          <w:lang w:eastAsia="fr-FR"/>
        </w:rPr>
        <w:t>that were</w:t>
      </w:r>
      <w:r w:rsidRPr="00E33EE8">
        <w:rPr>
          <w:noProof/>
          <w:lang w:eastAsia="fr-FR"/>
        </w:rPr>
        <w:t xml:space="preserve"> proposed, </w:t>
      </w:r>
      <w:r w:rsidRPr="002D1262">
        <w:rPr>
          <w:noProof/>
          <w:lang w:eastAsia="fr-FR"/>
        </w:rPr>
        <w:t>endorsed</w:t>
      </w:r>
      <w:r w:rsidRPr="00E33EE8">
        <w:rPr>
          <w:noProof/>
          <w:lang w:eastAsia="fr-FR"/>
        </w:rPr>
        <w:t xml:space="preserve"> or signed by </w:t>
      </w:r>
      <w:r w:rsidRPr="002D1262">
        <w:rPr>
          <w:noProof/>
          <w:lang w:eastAsia="fr-FR"/>
        </w:rPr>
        <w:t xml:space="preserve">the heads </w:t>
      </w:r>
      <w:r>
        <w:rPr>
          <w:noProof/>
          <w:lang w:eastAsia="fr-FR"/>
        </w:rPr>
        <w:t>of the administration</w:t>
      </w:r>
      <w:r w:rsidR="009A0CE0">
        <w:rPr>
          <w:noProof/>
          <w:lang w:eastAsia="fr-FR"/>
        </w:rPr>
        <w:t xml:space="preserve">. </w:t>
      </w:r>
      <w:r w:rsidR="009A0CE0">
        <w:rPr>
          <w:noProof/>
        </w:rPr>
        <w:t xml:space="preserve">This provision applies </w:t>
      </w:r>
      <w:r w:rsidR="009A0CE0" w:rsidRPr="001D774A">
        <w:rPr>
          <w:noProof/>
        </w:rPr>
        <w:t>exclusively in cases where no wilful misconduct is involved and where all technical and administrative opinions issued by the administration are wholly favourable</w:t>
      </w:r>
      <w:r w:rsidR="00D809FC" w:rsidRPr="0FF586BA">
        <w:rPr>
          <w:rStyle w:val="FootnoteReference"/>
          <w:noProof/>
          <w:lang w:eastAsia="fr-FR"/>
        </w:rPr>
        <w:footnoteReference w:id="76"/>
      </w:r>
      <w:r w:rsidRPr="00E33EE8">
        <w:rPr>
          <w:noProof/>
          <w:lang w:eastAsia="fr-FR"/>
        </w:rPr>
        <w:t>.</w:t>
      </w:r>
      <w:r>
        <w:rPr>
          <w:noProof/>
          <w:lang w:eastAsia="fr-FR"/>
        </w:rPr>
        <w:t xml:space="preserve"> </w:t>
      </w:r>
      <w:r w:rsidRPr="0002081B">
        <w:rPr>
          <w:noProof/>
          <w:lang w:eastAsia="fr-FR"/>
        </w:rPr>
        <w:t>According to the government, the reform of the Court of Auditors</w:t>
      </w:r>
      <w:r>
        <w:rPr>
          <w:noProof/>
          <w:lang w:eastAsia="fr-FR"/>
        </w:rPr>
        <w:t>, in force since January 2026,</w:t>
      </w:r>
      <w:r w:rsidRPr="0002081B">
        <w:rPr>
          <w:noProof/>
          <w:lang w:eastAsia="fr-FR"/>
        </w:rPr>
        <w:t xml:space="preserve"> aims to increase the efficiency of the institution </w:t>
      </w:r>
      <w:r w:rsidR="0048589B">
        <w:rPr>
          <w:noProof/>
          <w:lang w:eastAsia="fr-FR"/>
        </w:rPr>
        <w:t xml:space="preserve">by </w:t>
      </w:r>
      <w:r w:rsidR="0078744B">
        <w:rPr>
          <w:noProof/>
          <w:lang w:eastAsia="fr-FR"/>
        </w:rPr>
        <w:t xml:space="preserve">rebalancing its workload </w:t>
      </w:r>
      <w:r w:rsidR="00532AD0">
        <w:rPr>
          <w:noProof/>
          <w:lang w:eastAsia="fr-FR"/>
        </w:rPr>
        <w:t xml:space="preserve">and by </w:t>
      </w:r>
      <w:r w:rsidR="0048589B">
        <w:rPr>
          <w:noProof/>
          <w:lang w:eastAsia="fr-FR"/>
        </w:rPr>
        <w:t>strengthen</w:t>
      </w:r>
      <w:r w:rsidR="00EE5F35">
        <w:rPr>
          <w:noProof/>
          <w:lang w:eastAsia="fr-FR"/>
        </w:rPr>
        <w:t xml:space="preserve">ing the Court’s </w:t>
      </w:r>
      <w:r w:rsidR="00B6272F" w:rsidRPr="00B6272F">
        <w:rPr>
          <w:noProof/>
          <w:lang w:eastAsia="fr-FR"/>
        </w:rPr>
        <w:t>audit and oversight functions, including its concurrent control powers</w:t>
      </w:r>
      <w:r w:rsidR="00B6272F">
        <w:rPr>
          <w:noProof/>
          <w:lang w:eastAsia="fr-FR"/>
        </w:rPr>
        <w:t xml:space="preserve">, </w:t>
      </w:r>
      <w:r w:rsidRPr="0002081B">
        <w:rPr>
          <w:noProof/>
          <w:lang w:eastAsia="fr-FR"/>
        </w:rPr>
        <w:t>and to facilitate the approval of public contracts</w:t>
      </w:r>
      <w:r w:rsidRPr="0FF586BA">
        <w:rPr>
          <w:rStyle w:val="FootnoteReference"/>
          <w:noProof/>
          <w:lang w:eastAsia="fr-FR"/>
        </w:rPr>
        <w:footnoteReference w:id="77"/>
      </w:r>
      <w:r w:rsidRPr="0002081B">
        <w:rPr>
          <w:noProof/>
          <w:lang w:eastAsia="fr-FR"/>
        </w:rPr>
        <w:t xml:space="preserve">. Concerns have been voiced, including by the association of magistrates of the Court of Auditors, that the Court might not have the required resources to timely and thoroughly analyse such decisions and that this might reduce the effective supervision of public spending and, in turn, protect public officials from </w:t>
      </w:r>
      <w:r w:rsidRPr="00D547AD">
        <w:rPr>
          <w:noProof/>
          <w:lang w:eastAsia="fr-FR"/>
        </w:rPr>
        <w:t>possible (criminal) investigations in the future</w:t>
      </w:r>
      <w:r w:rsidRPr="00D547AD">
        <w:rPr>
          <w:rStyle w:val="FootnoteReference"/>
          <w:noProof/>
          <w:lang w:eastAsia="fr-FR"/>
        </w:rPr>
        <w:footnoteReference w:id="78"/>
      </w:r>
      <w:r w:rsidRPr="00D547AD">
        <w:rPr>
          <w:noProof/>
          <w:lang w:eastAsia="fr-FR"/>
        </w:rPr>
        <w:t>. In April 2026, the Court of Auditors challenged the law before the Constitutional Court</w:t>
      </w:r>
      <w:r w:rsidRPr="00D547AD">
        <w:rPr>
          <w:rStyle w:val="FootnoteReference"/>
          <w:noProof/>
          <w:lang w:eastAsia="fr-FR"/>
        </w:rPr>
        <w:footnoteReference w:id="79"/>
      </w:r>
      <w:r w:rsidRPr="00D547AD">
        <w:rPr>
          <w:noProof/>
          <w:lang w:eastAsia="fr-FR"/>
        </w:rPr>
        <w:t>.</w:t>
      </w:r>
    </w:p>
    <w:p w14:paraId="51D7DD75" w14:textId="4556989F" w:rsidR="00490F94" w:rsidRPr="00D547AD" w:rsidRDefault="00490F94" w:rsidP="00490F94">
      <w:pPr>
        <w:rPr>
          <w:noProof/>
          <w:lang w:val="en-IE" w:eastAsia="fr-FR"/>
        </w:rPr>
      </w:pPr>
      <w:r w:rsidRPr="00D547AD">
        <w:rPr>
          <w:b/>
          <w:bCs/>
          <w:noProof/>
          <w:lang w:val="en-IE" w:eastAsia="fr-FR"/>
        </w:rPr>
        <w:t>No further discussions took place in Parliament on the draft law on conflicts of interest</w:t>
      </w:r>
      <w:r w:rsidRPr="00D547AD">
        <w:rPr>
          <w:rStyle w:val="FootnoteReference"/>
          <w:noProof/>
          <w:lang w:val="en-IE" w:eastAsia="fr-FR"/>
        </w:rPr>
        <w:footnoteReference w:id="80"/>
      </w:r>
      <w:r w:rsidRPr="00D547AD">
        <w:rPr>
          <w:noProof/>
          <w:lang w:val="en-IE" w:eastAsia="fr-FR"/>
        </w:rPr>
        <w:t>.</w:t>
      </w:r>
      <w:r w:rsidR="00F0390F">
        <w:rPr>
          <w:noProof/>
          <w:lang w:val="en-IE" w:eastAsia="fr-FR"/>
        </w:rPr>
        <w:t xml:space="preserve"> </w:t>
      </w:r>
      <w:r w:rsidR="00F0390F" w:rsidRPr="00C77931">
        <w:rPr>
          <w:noProof/>
          <w:lang w:val="en-IE" w:eastAsia="fr-FR"/>
        </w:rPr>
        <w:t>Although some fragmented rules are in place on conflicts of interest for members of the government,</w:t>
      </w:r>
      <w:r w:rsidRPr="00D547AD">
        <w:rPr>
          <w:b/>
          <w:bCs/>
          <w:noProof/>
          <w:lang w:val="en-IE" w:eastAsia="fr-FR"/>
        </w:rPr>
        <w:t xml:space="preserve"> </w:t>
      </w:r>
      <w:r w:rsidRPr="00D547AD">
        <w:rPr>
          <w:noProof/>
          <w:lang w:val="en-IE" w:eastAsia="fr-FR"/>
        </w:rPr>
        <w:t>Italy is still lacking comprehensive rules on conflicts of interest for political office holders, including members of Parliament</w:t>
      </w:r>
      <w:r w:rsidRPr="00D547AD">
        <w:rPr>
          <w:noProof/>
          <w:vertAlign w:val="superscript"/>
          <w:lang w:val="en-IE" w:eastAsia="fr-FR"/>
        </w:rPr>
        <w:footnoteReference w:id="81"/>
      </w:r>
      <w:r w:rsidRPr="00D547AD">
        <w:rPr>
          <w:noProof/>
          <w:lang w:val="en-IE" w:eastAsia="fr-FR"/>
        </w:rPr>
        <w:t>. A draft law on conflicts of interest</w:t>
      </w:r>
      <w:r w:rsidRPr="00D547AD">
        <w:rPr>
          <w:noProof/>
          <w:vertAlign w:val="superscript"/>
          <w:lang w:val="en-IE" w:eastAsia="fr-FR"/>
        </w:rPr>
        <w:footnoteReference w:id="82"/>
      </w:r>
      <w:r w:rsidRPr="00D547AD">
        <w:rPr>
          <w:noProof/>
          <w:lang w:val="en-IE" w:eastAsia="fr-FR"/>
        </w:rPr>
        <w:t xml:space="preserve"> remains pending and no further discussions have taken place in Parliament. The network of corruption prevention and transparency officers established by the National School of Administration developed a handbook of good practices on how to deal with conflicts of interest</w:t>
      </w:r>
      <w:r w:rsidRPr="00D547AD">
        <w:rPr>
          <w:rStyle w:val="FootnoteReference"/>
          <w:noProof/>
          <w:lang w:val="en-IE" w:eastAsia="fr-FR"/>
        </w:rPr>
        <w:footnoteReference w:id="83"/>
      </w:r>
      <w:r w:rsidRPr="00D547AD">
        <w:rPr>
          <w:noProof/>
          <w:lang w:val="en-IE" w:eastAsia="fr-FR"/>
        </w:rPr>
        <w:t>. The national anti-corruption plan for the year 2025 includes a guidance document on the rules on ineligibility and incompatibility in the public sector in order to support administrations in the application of these rules</w:t>
      </w:r>
      <w:r w:rsidRPr="00D547AD">
        <w:rPr>
          <w:rStyle w:val="FootnoteReference"/>
          <w:noProof/>
          <w:lang w:val="en-IE" w:eastAsia="fr-FR"/>
        </w:rPr>
        <w:footnoteReference w:id="84"/>
      </w:r>
      <w:r w:rsidRPr="00D547AD">
        <w:rPr>
          <w:noProof/>
          <w:lang w:val="en-IE" w:eastAsia="fr-FR"/>
        </w:rPr>
        <w:t xml:space="preserve">. </w:t>
      </w:r>
      <w:r>
        <w:rPr>
          <w:noProof/>
          <w:lang w:val="en-IE" w:eastAsia="fr-FR"/>
        </w:rPr>
        <w:t xml:space="preserve">The </w:t>
      </w:r>
      <w:r w:rsidRPr="00D71250">
        <w:rPr>
          <w:i/>
          <w:iCs/>
          <w:noProof/>
          <w:lang w:val="en-IE" w:eastAsia="fr-FR"/>
        </w:rPr>
        <w:t>Guardia di Finanza</w:t>
      </w:r>
      <w:r>
        <w:rPr>
          <w:noProof/>
          <w:lang w:val="en-IE" w:eastAsia="fr-FR"/>
        </w:rPr>
        <w:t xml:space="preserve"> updated its code of ethics and established the possibility for staff to submit questions and receive practical guidance on ethical issues</w:t>
      </w:r>
      <w:r>
        <w:rPr>
          <w:rStyle w:val="FootnoteReference"/>
          <w:noProof/>
          <w:lang w:val="en-IE" w:eastAsia="fr-FR"/>
        </w:rPr>
        <w:footnoteReference w:id="85"/>
      </w:r>
      <w:r>
        <w:rPr>
          <w:noProof/>
          <w:lang w:val="en-IE" w:eastAsia="fr-FR"/>
        </w:rPr>
        <w:t xml:space="preserve">. </w:t>
      </w:r>
      <w:r w:rsidRPr="00D547AD">
        <w:rPr>
          <w:noProof/>
          <w:lang w:val="en-IE" w:eastAsia="fr-FR"/>
        </w:rPr>
        <w:t>Existing rules on post-employment restrictions for local public officials were removed in August 2025</w:t>
      </w:r>
      <w:r w:rsidRPr="00D547AD">
        <w:rPr>
          <w:rStyle w:val="FootnoteReference"/>
          <w:noProof/>
          <w:lang w:val="en-IE" w:eastAsia="fr-FR"/>
        </w:rPr>
        <w:footnoteReference w:id="86"/>
      </w:r>
      <w:r w:rsidRPr="00D547AD">
        <w:rPr>
          <w:noProof/>
          <w:lang w:val="en-IE" w:eastAsia="fr-FR"/>
        </w:rPr>
        <w:t>, allowing members of local and regional councils and executives to be appointed as directors of publicly controlled companies without a cooling-off period.</w:t>
      </w:r>
      <w:r w:rsidRPr="00D547AD">
        <w:rPr>
          <w:noProof/>
          <w:lang w:val="en-IE"/>
        </w:rPr>
        <w:t xml:space="preserve"> ANAC and civil society have called upon the government to reintroduce the previous ineligibility rules</w:t>
      </w:r>
      <w:r w:rsidRPr="00D547AD">
        <w:rPr>
          <w:rStyle w:val="FootnoteReference"/>
          <w:noProof/>
          <w:lang w:val="en-IE" w:eastAsia="fr-FR"/>
        </w:rPr>
        <w:footnoteReference w:id="87"/>
      </w:r>
      <w:r w:rsidRPr="00D547AD">
        <w:rPr>
          <w:noProof/>
          <w:lang w:val="en-IE" w:eastAsia="fr-FR"/>
        </w:rPr>
        <w:t xml:space="preserve">. Therefore, there has been no progress on the implementation of the recommendation. </w:t>
      </w:r>
    </w:p>
    <w:p w14:paraId="6157B276" w14:textId="77777777" w:rsidR="00490F94" w:rsidRPr="00D71250" w:rsidRDefault="00490F94" w:rsidP="00490F94">
      <w:pPr>
        <w:rPr>
          <w:b/>
          <w:bCs/>
          <w:noProof/>
          <w:lang w:eastAsia="fr-FR"/>
        </w:rPr>
      </w:pPr>
      <w:r w:rsidRPr="00D71250">
        <w:rPr>
          <w:b/>
          <w:bCs/>
          <w:noProof/>
          <w:lang w:eastAsia="en-GB"/>
        </w:rPr>
        <w:t xml:space="preserve">A draft law on lobbying was adopted in the Chamber </w:t>
      </w:r>
      <w:r>
        <w:rPr>
          <w:b/>
          <w:bCs/>
          <w:noProof/>
          <w:lang w:eastAsia="en-GB"/>
        </w:rPr>
        <w:t xml:space="preserve">of Deputies </w:t>
      </w:r>
      <w:r w:rsidRPr="00D71250">
        <w:rPr>
          <w:b/>
          <w:bCs/>
          <w:noProof/>
          <w:lang w:eastAsia="en-GB"/>
        </w:rPr>
        <w:t>and is being assessed in the Senate</w:t>
      </w:r>
      <w:r w:rsidRPr="0002081B">
        <w:rPr>
          <w:rStyle w:val="FootnoteReference"/>
          <w:noProof/>
          <w:lang w:eastAsia="fr-FR"/>
        </w:rPr>
        <w:footnoteReference w:id="88"/>
      </w:r>
      <w:r w:rsidRPr="0002081B">
        <w:rPr>
          <w:noProof/>
          <w:lang w:eastAsia="fr-FR"/>
        </w:rPr>
        <w:t>. The lack of a comprehensive regulation of lobbying activities continues to be perceived as one of the main shortcomings of the national integrity system</w:t>
      </w:r>
      <w:r w:rsidRPr="0002081B">
        <w:rPr>
          <w:rStyle w:val="FootnoteReference"/>
          <w:noProof/>
          <w:lang w:eastAsia="fr-FR"/>
        </w:rPr>
        <w:footnoteReference w:id="89"/>
      </w:r>
      <w:r w:rsidRPr="0002081B">
        <w:rPr>
          <w:noProof/>
          <w:lang w:eastAsia="fr-FR"/>
        </w:rPr>
        <w:t>. The Constitutional Court called upon the Parliament to introduce a regulation on lobbying activities</w:t>
      </w:r>
      <w:r w:rsidRPr="0002081B">
        <w:rPr>
          <w:rStyle w:val="FootnoteReference"/>
          <w:noProof/>
          <w:lang w:eastAsia="fr-FR"/>
        </w:rPr>
        <w:footnoteReference w:id="90"/>
      </w:r>
      <w:r w:rsidRPr="0002081B">
        <w:rPr>
          <w:noProof/>
          <w:lang w:eastAsia="fr-FR"/>
        </w:rPr>
        <w:t>. In January 2026, the Chamber of Deputies adopted a draft law on lobbying which remains pending in the Senate</w:t>
      </w:r>
      <w:r w:rsidRPr="0002081B">
        <w:rPr>
          <w:rStyle w:val="FootnoteReference"/>
          <w:noProof/>
          <w:lang w:eastAsia="fr-FR"/>
        </w:rPr>
        <w:footnoteReference w:id="91"/>
      </w:r>
      <w:r w:rsidRPr="0002081B">
        <w:rPr>
          <w:noProof/>
          <w:lang w:eastAsia="fr-FR"/>
        </w:rPr>
        <w:t xml:space="preserve">. </w:t>
      </w:r>
      <w:bookmarkStart w:id="11" w:name="_Hlk223794004"/>
      <w:r w:rsidRPr="0002081B">
        <w:rPr>
          <w:noProof/>
          <w:lang w:eastAsia="fr-FR"/>
        </w:rPr>
        <w:t xml:space="preserve">The draft law includes disclosure obligations for interest representatives, </w:t>
      </w:r>
      <w:bookmarkEnd w:id="11"/>
      <w:r w:rsidRPr="0002081B">
        <w:rPr>
          <w:noProof/>
          <w:lang w:eastAsia="fr-FR"/>
        </w:rPr>
        <w:t>while exempting trade unions and employers’ associations. It also does not include a legislative footprint and professional lobbying firms would not have to indicate on whose behalf they perform an interest representation activity. At the same time, the Ministry of Defence has introduced a voluntary transparency register where the meetings with stakeholders from the defence industry will be published</w:t>
      </w:r>
      <w:r w:rsidRPr="0002081B">
        <w:rPr>
          <w:rStyle w:val="FootnoteReference"/>
          <w:noProof/>
          <w:lang w:eastAsia="fr-FR"/>
        </w:rPr>
        <w:footnoteReference w:id="92"/>
      </w:r>
      <w:r w:rsidRPr="0002081B">
        <w:rPr>
          <w:noProof/>
          <w:lang w:eastAsia="fr-FR"/>
        </w:rPr>
        <w:t xml:space="preserve">. Therefore, limited progress has been made to implement the recommendation. </w:t>
      </w:r>
    </w:p>
    <w:p w14:paraId="7C66345A" w14:textId="443F6643" w:rsidR="00490F94" w:rsidRPr="0002081B" w:rsidRDefault="00490F94" w:rsidP="00490F94">
      <w:pPr>
        <w:rPr>
          <w:noProof/>
          <w:lang w:eastAsia="fr-FR"/>
        </w:rPr>
      </w:pPr>
      <w:bookmarkStart w:id="12" w:name="_Hlk223795195"/>
      <w:bookmarkStart w:id="13" w:name="_Hlk192838592"/>
      <w:r>
        <w:rPr>
          <w:b/>
          <w:noProof/>
          <w:lang w:eastAsia="fr-FR"/>
        </w:rPr>
        <w:t>With several draft laws pending in Parliament, t</w:t>
      </w:r>
      <w:r w:rsidRPr="0002081B">
        <w:rPr>
          <w:b/>
          <w:noProof/>
          <w:lang w:eastAsia="fr-FR"/>
        </w:rPr>
        <w:t>here has been no progress in relation to the financing of political parties and campaigns by donations through political foundations and associations</w:t>
      </w:r>
      <w:r w:rsidRPr="0002081B">
        <w:rPr>
          <w:noProof/>
          <w:vertAlign w:val="superscript"/>
          <w:lang w:eastAsia="fr-FR"/>
        </w:rPr>
        <w:footnoteReference w:id="93"/>
      </w:r>
      <w:r w:rsidRPr="0002081B">
        <w:rPr>
          <w:noProof/>
          <w:lang w:eastAsia="fr-FR"/>
        </w:rPr>
        <w:t>.</w:t>
      </w:r>
      <w:bookmarkEnd w:id="12"/>
      <w:r w:rsidRPr="0002081B">
        <w:rPr>
          <w:noProof/>
          <w:lang w:eastAsia="fr-FR"/>
        </w:rPr>
        <w:t xml:space="preserve"> </w:t>
      </w:r>
      <w:bookmarkStart w:id="14" w:name="_Hlk223795270"/>
      <w:bookmarkEnd w:id="13"/>
      <w:r w:rsidRPr="0002081B">
        <w:rPr>
          <w:noProof/>
          <w:lang w:eastAsia="fr-FR"/>
        </w:rPr>
        <w:t>The</w:t>
      </w:r>
      <w:r w:rsidRPr="0002081B" w:rsidDel="005E76D5">
        <w:rPr>
          <w:noProof/>
          <w:lang w:eastAsia="fr-FR"/>
        </w:rPr>
        <w:t xml:space="preserve"> </w:t>
      </w:r>
      <w:r w:rsidRPr="0002081B">
        <w:rPr>
          <w:noProof/>
          <w:lang w:eastAsia="fr-FR"/>
        </w:rPr>
        <w:t>persistent practice of private party donations could impede public accountability and result in disproportionate influence of private donors on the political agenda</w:t>
      </w:r>
      <w:r w:rsidRPr="0002081B">
        <w:rPr>
          <w:noProof/>
          <w:vertAlign w:val="superscript"/>
          <w:lang w:eastAsia="fr-FR"/>
        </w:rPr>
        <w:footnoteReference w:id="94"/>
      </w:r>
      <w:r w:rsidRPr="0002081B">
        <w:rPr>
          <w:noProof/>
          <w:lang w:eastAsia="fr-FR"/>
        </w:rPr>
        <w:t xml:space="preserve">. </w:t>
      </w:r>
      <w:bookmarkEnd w:id="14"/>
      <w:r w:rsidRPr="0002081B">
        <w:rPr>
          <w:noProof/>
          <w:lang w:eastAsia="fr-FR"/>
        </w:rPr>
        <w:t>The draft laws tabled in Parliament to address this long-standing issue have not been discussed yet</w:t>
      </w:r>
      <w:r w:rsidRPr="0002081B">
        <w:rPr>
          <w:noProof/>
          <w:vertAlign w:val="superscript"/>
          <w:lang w:eastAsia="fr-FR"/>
        </w:rPr>
        <w:footnoteReference w:id="95"/>
      </w:r>
      <w:r w:rsidRPr="0002081B">
        <w:rPr>
          <w:noProof/>
          <w:lang w:eastAsia="fr-FR"/>
        </w:rPr>
        <w:t>, neither has the draft law to increase the autonomy of the Committee for Transparency and Control of Political Parties and Political Movements</w:t>
      </w:r>
      <w:r w:rsidR="00BA4854">
        <w:rPr>
          <w:noProof/>
          <w:lang w:eastAsia="fr-FR"/>
        </w:rPr>
        <w:t xml:space="preserve">. </w:t>
      </w:r>
      <w:r w:rsidR="00BA4854" w:rsidRPr="001B1297">
        <w:rPr>
          <w:noProof/>
        </w:rPr>
        <w:t xml:space="preserve">The human and financial resources of the Committee </w:t>
      </w:r>
      <w:r w:rsidR="00BA4854">
        <w:rPr>
          <w:noProof/>
        </w:rPr>
        <w:t>were increased in 2025</w:t>
      </w:r>
      <w:r w:rsidR="005F7654">
        <w:rPr>
          <w:rStyle w:val="FootnoteReference"/>
          <w:noProof/>
          <w:lang w:eastAsia="fr-FR"/>
        </w:rPr>
        <w:footnoteReference w:id="96"/>
      </w:r>
      <w:r w:rsidRPr="00D71250">
        <w:rPr>
          <w:noProof/>
          <w:lang w:eastAsia="fr-FR"/>
        </w:rPr>
        <w:t xml:space="preserve">. </w:t>
      </w:r>
      <w:r w:rsidRPr="00515864">
        <w:rPr>
          <w:rFonts w:eastAsiaTheme="minorEastAsia"/>
          <w:noProof/>
        </w:rPr>
        <w:t>Since the draft laws a</w:t>
      </w:r>
      <w:r w:rsidRPr="0002081B">
        <w:rPr>
          <w:rFonts w:eastAsiaTheme="minorEastAsia"/>
          <w:noProof/>
        </w:rPr>
        <w:t>re still pending</w:t>
      </w:r>
      <w:r w:rsidRPr="0002081B">
        <w:rPr>
          <w:noProof/>
          <w:lang w:eastAsia="fr-FR"/>
        </w:rPr>
        <w:t xml:space="preserve">, there has been no progress yet regarding the implementation of the recommendations. </w:t>
      </w:r>
    </w:p>
    <w:p w14:paraId="77F35894" w14:textId="77777777" w:rsidR="00490F94" w:rsidRPr="0002081B" w:rsidRDefault="00490F94" w:rsidP="00490F94">
      <w:pPr>
        <w:rPr>
          <w:noProof/>
          <w:lang w:eastAsia="fr-FR"/>
        </w:rPr>
      </w:pPr>
      <w:r w:rsidRPr="249768F3">
        <w:rPr>
          <w:b/>
          <w:bCs/>
          <w:noProof/>
          <w:lang w:eastAsia="fr-FR"/>
        </w:rPr>
        <w:t>The National Authority Against Corruption (ANAC</w:t>
      </w:r>
      <w:r>
        <w:rPr>
          <w:b/>
          <w:bCs/>
          <w:noProof/>
          <w:lang w:eastAsia="fr-FR"/>
        </w:rPr>
        <w:t>)</w:t>
      </w:r>
      <w:r w:rsidRPr="249768F3">
        <w:rPr>
          <w:b/>
          <w:bCs/>
          <w:noProof/>
          <w:lang w:eastAsia="fr-FR"/>
        </w:rPr>
        <w:t xml:space="preserve"> issued </w:t>
      </w:r>
      <w:bookmarkStart w:id="15" w:name="_Int_8MCqVh0l"/>
      <w:r w:rsidRPr="249768F3">
        <w:rPr>
          <w:b/>
          <w:bCs/>
          <w:noProof/>
          <w:lang w:eastAsia="fr-FR"/>
        </w:rPr>
        <w:t>additional</w:t>
      </w:r>
      <w:bookmarkEnd w:id="15"/>
      <w:r w:rsidRPr="249768F3">
        <w:rPr>
          <w:b/>
          <w:bCs/>
          <w:noProof/>
          <w:lang w:eastAsia="fr-FR"/>
        </w:rPr>
        <w:t xml:space="preserve"> whistleblowing guidelines. </w:t>
      </w:r>
      <w:r w:rsidRPr="0002081B">
        <w:rPr>
          <w:noProof/>
          <w:lang w:eastAsia="fr-FR"/>
        </w:rPr>
        <w:t>In November 2025, ANAC issued guidelines on whistleblowing through internal reporting channels which complement the guidelines on external reporting adopted in 2023</w:t>
      </w:r>
      <w:r w:rsidRPr="0FF586BA">
        <w:rPr>
          <w:rStyle w:val="FootnoteReference"/>
          <w:noProof/>
          <w:lang w:eastAsia="fr-FR"/>
        </w:rPr>
        <w:footnoteReference w:id="97"/>
      </w:r>
      <w:r w:rsidRPr="0002081B">
        <w:rPr>
          <w:noProof/>
          <w:lang w:eastAsia="fr-FR"/>
        </w:rPr>
        <w:t xml:space="preserve">. </w:t>
      </w:r>
      <w:r w:rsidRPr="249768F3">
        <w:rPr>
          <w:noProof/>
          <w:lang w:eastAsia="fr-FR"/>
        </w:rPr>
        <w:t>In 2025, t</w:t>
      </w:r>
      <w:r w:rsidRPr="0002081B">
        <w:rPr>
          <w:noProof/>
          <w:lang w:eastAsia="fr-FR"/>
        </w:rPr>
        <w:t>he number of whistleblower reports submitted to ANAC continue</w:t>
      </w:r>
      <w:r w:rsidRPr="249768F3">
        <w:rPr>
          <w:noProof/>
          <w:lang w:eastAsia="fr-FR"/>
        </w:rPr>
        <w:t>d</w:t>
      </w:r>
      <w:r w:rsidRPr="0002081B">
        <w:rPr>
          <w:noProof/>
          <w:lang w:eastAsia="fr-FR"/>
        </w:rPr>
        <w:t xml:space="preserve"> to rise (around 40% increase compared to 2024) while the number of reports that ANAC deemed inadmissible or rejected is also significant (55% of all reports received, up from 35% in 2024)</w:t>
      </w:r>
      <w:r w:rsidRPr="0FF586BA">
        <w:rPr>
          <w:rStyle w:val="FootnoteReference"/>
          <w:noProof/>
          <w:lang w:eastAsia="fr-FR"/>
        </w:rPr>
        <w:footnoteReference w:id="98"/>
      </w:r>
      <w:r w:rsidRPr="0002081B">
        <w:rPr>
          <w:noProof/>
          <w:lang w:eastAsia="fr-FR"/>
        </w:rPr>
        <w:t>.</w:t>
      </w:r>
      <w:r>
        <w:rPr>
          <w:noProof/>
          <w:lang w:eastAsia="fr-FR"/>
        </w:rPr>
        <w:t xml:space="preserve"> </w:t>
      </w:r>
      <w:r w:rsidRPr="00D71250">
        <w:rPr>
          <w:noProof/>
          <w:lang w:eastAsia="fr-FR"/>
        </w:rPr>
        <w:t>In 2025, ANAC saw a slight decrease in its monitoring activities and a decrease (about 60%) in its sanctioning activities</w:t>
      </w:r>
      <w:r w:rsidRPr="00D71250">
        <w:rPr>
          <w:rStyle w:val="FootnoteReference"/>
          <w:noProof/>
          <w:lang w:eastAsia="fr-FR"/>
        </w:rPr>
        <w:footnoteReference w:id="99"/>
      </w:r>
      <w:r w:rsidRPr="00D71250">
        <w:rPr>
          <w:noProof/>
          <w:lang w:eastAsia="fr-FR"/>
        </w:rPr>
        <w:t xml:space="preserve">. </w:t>
      </w:r>
      <w:r w:rsidRPr="00D71250" w:rsidDel="004F14B8">
        <w:rPr>
          <w:noProof/>
          <w:lang w:eastAsia="fr-FR"/>
        </w:rPr>
        <w:t xml:space="preserve"> </w:t>
      </w:r>
    </w:p>
    <w:p w14:paraId="4D9A1795" w14:textId="77777777" w:rsidR="00490F94" w:rsidRPr="001B032F" w:rsidRDefault="00490F94" w:rsidP="00490F94">
      <w:pPr>
        <w:rPr>
          <w:noProof/>
          <w:lang w:eastAsia="fr-FR"/>
        </w:rPr>
      </w:pPr>
      <w:r w:rsidRPr="00703B6E">
        <w:rPr>
          <w:b/>
          <w:bCs/>
          <w:noProof/>
          <w:lang w:eastAsia="fr-FR"/>
        </w:rPr>
        <w:t xml:space="preserve">The launch of the Single Transparency Portal increases transparency of public procurement which remains a high-risk area. </w:t>
      </w:r>
      <w:r w:rsidRPr="1A48FEFC">
        <w:rPr>
          <w:rFonts w:eastAsia="Calibri"/>
          <w:noProof/>
          <w:szCs w:val="24"/>
          <w:lang w:val="en-IE"/>
        </w:rPr>
        <w:t xml:space="preserve">Businesses’ attitudes towards corruption in the EU show that </w:t>
      </w:r>
      <w:r>
        <w:rPr>
          <w:rFonts w:eastAsia="Calibri"/>
          <w:noProof/>
          <w:szCs w:val="24"/>
          <w:lang w:val="en-IE"/>
        </w:rPr>
        <w:t>34</w:t>
      </w:r>
      <w:r w:rsidRPr="1A48FEFC">
        <w:rPr>
          <w:rFonts w:eastAsia="Calibri"/>
          <w:noProof/>
          <w:szCs w:val="24"/>
          <w:lang w:val="en-IE"/>
        </w:rPr>
        <w:t xml:space="preserve">% of companies in </w:t>
      </w:r>
      <w:r>
        <w:rPr>
          <w:rFonts w:eastAsia="Calibri"/>
          <w:noProof/>
          <w:szCs w:val="24"/>
          <w:lang w:val="en-IE"/>
        </w:rPr>
        <w:t>Italy</w:t>
      </w:r>
      <w:r w:rsidRPr="1A48FEFC">
        <w:rPr>
          <w:rFonts w:eastAsia="Calibri"/>
          <w:noProof/>
          <w:szCs w:val="24"/>
          <w:lang w:val="en-IE"/>
        </w:rPr>
        <w:t xml:space="preserve"> (EU average </w:t>
      </w:r>
      <w:r>
        <w:rPr>
          <w:rFonts w:eastAsia="Calibri"/>
          <w:noProof/>
          <w:szCs w:val="24"/>
          <w:lang w:val="en-IE"/>
        </w:rPr>
        <w:t>30</w:t>
      </w:r>
      <w:r w:rsidRPr="1A48FEFC">
        <w:rPr>
          <w:rFonts w:eastAsia="Calibri"/>
          <w:noProof/>
          <w:szCs w:val="24"/>
          <w:lang w:val="en-IE"/>
        </w:rPr>
        <w:t>%) think that corruption has prevented them from winning a public tender in practice in the last three years</w:t>
      </w:r>
      <w:r w:rsidRPr="1A48FEFC">
        <w:rPr>
          <w:rFonts w:eastAsia="Calibri"/>
          <w:noProof/>
          <w:szCs w:val="24"/>
          <w:vertAlign w:val="superscript"/>
          <w:lang w:val="en-IE"/>
        </w:rPr>
        <w:footnoteReference w:id="100"/>
      </w:r>
      <w:r w:rsidRPr="1A48FEFC">
        <w:rPr>
          <w:rFonts w:eastAsia="Calibri"/>
          <w:noProof/>
          <w:szCs w:val="24"/>
          <w:lang w:val="en-IE"/>
        </w:rPr>
        <w:t xml:space="preserve">. </w:t>
      </w:r>
      <w:r>
        <w:rPr>
          <w:rFonts w:eastAsia="Calibri"/>
          <w:noProof/>
          <w:szCs w:val="24"/>
          <w:lang w:val="en-IE"/>
        </w:rPr>
        <w:t>71</w:t>
      </w:r>
      <w:r w:rsidRPr="1A48FEFC">
        <w:rPr>
          <w:rFonts w:eastAsia="Calibri"/>
          <w:noProof/>
          <w:szCs w:val="24"/>
          <w:lang w:val="en-IE"/>
        </w:rPr>
        <w:t xml:space="preserve">% </w:t>
      </w:r>
      <w:r w:rsidRPr="00BE4221">
        <w:rPr>
          <w:noProof/>
          <w:szCs w:val="24"/>
        </w:rPr>
        <w:t xml:space="preserve">of businesses perceive the level of independence of the public procurement </w:t>
      </w:r>
      <w:r>
        <w:rPr>
          <w:noProof/>
          <w:szCs w:val="24"/>
        </w:rPr>
        <w:t>review body (Regional Administrative Tribunals and the Council of State)</w:t>
      </w:r>
      <w:r w:rsidRPr="00BE4221">
        <w:rPr>
          <w:noProof/>
          <w:szCs w:val="24"/>
        </w:rPr>
        <w:t xml:space="preserve"> as very or fairly good when it is reviewing public procurement cases</w:t>
      </w:r>
      <w:r w:rsidRPr="00BE4221">
        <w:rPr>
          <w:noProof/>
          <w:szCs w:val="24"/>
          <w:vertAlign w:val="superscript"/>
        </w:rPr>
        <w:footnoteReference w:id="101"/>
      </w:r>
      <w:r w:rsidRPr="00BE4221">
        <w:rPr>
          <w:noProof/>
          <w:szCs w:val="24"/>
        </w:rPr>
        <w:t xml:space="preserve">. </w:t>
      </w:r>
      <w:r w:rsidRPr="00BE4221">
        <w:rPr>
          <w:noProof/>
          <w:szCs w:val="24"/>
          <w:lang w:val="en-IE" w:eastAsia="fr-FR"/>
        </w:rPr>
        <w:t xml:space="preserve">The Single Market and Competitiveness Scoreboard on access to public procurement in </w:t>
      </w:r>
      <w:r>
        <w:rPr>
          <w:noProof/>
          <w:szCs w:val="24"/>
          <w:lang w:val="en-IE" w:eastAsia="fr-FR"/>
        </w:rPr>
        <w:t xml:space="preserve">Italy </w:t>
      </w:r>
      <w:r w:rsidRPr="00BE4221">
        <w:rPr>
          <w:noProof/>
          <w:szCs w:val="24"/>
          <w:lang w:val="en-IE" w:eastAsia="fr-FR"/>
        </w:rPr>
        <w:t xml:space="preserve">reports </w:t>
      </w:r>
      <w:r>
        <w:rPr>
          <w:noProof/>
          <w:szCs w:val="24"/>
          <w:lang w:val="en-IE" w:eastAsia="fr-FR"/>
        </w:rPr>
        <w:t>39</w:t>
      </w:r>
      <w:r w:rsidRPr="00BE4221">
        <w:rPr>
          <w:noProof/>
          <w:szCs w:val="24"/>
          <w:lang w:val="en-IE" w:eastAsia="fr-FR"/>
        </w:rPr>
        <w:t>% of single bids for 202</w:t>
      </w:r>
      <w:r w:rsidRPr="1A48FEFC">
        <w:rPr>
          <w:noProof/>
          <w:szCs w:val="24"/>
          <w:lang w:val="en-IE" w:eastAsia="fr-FR"/>
        </w:rPr>
        <w:t>5</w:t>
      </w:r>
      <w:r>
        <w:rPr>
          <w:noProof/>
          <w:szCs w:val="24"/>
          <w:lang w:val="en-IE" w:eastAsia="fr-FR"/>
        </w:rPr>
        <w:t xml:space="preserve"> (27% EU </w:t>
      </w:r>
      <w:r w:rsidRPr="00515864">
        <w:rPr>
          <w:noProof/>
          <w:szCs w:val="24"/>
          <w:lang w:val="en-IE" w:eastAsia="fr-FR"/>
        </w:rPr>
        <w:t xml:space="preserve">average). </w:t>
      </w:r>
      <w:r w:rsidRPr="0002081B">
        <w:rPr>
          <w:rFonts w:eastAsia="Calibri"/>
          <w:noProof/>
        </w:rPr>
        <w:t xml:space="preserve">Stakeholders report concerns about contracts being artificially split to keep their value </w:t>
      </w:r>
      <w:r>
        <w:rPr>
          <w:rFonts w:eastAsia="Calibri"/>
          <w:noProof/>
        </w:rPr>
        <w:tab/>
      </w:r>
      <w:r w:rsidRPr="0002081B">
        <w:rPr>
          <w:rFonts w:eastAsia="Calibri"/>
          <w:noProof/>
        </w:rPr>
        <w:t>just below the threshold (EUR 140</w:t>
      </w:r>
      <w:r>
        <w:rPr>
          <w:rFonts w:eastAsia="Calibri"/>
          <w:noProof/>
        </w:rPr>
        <w:t> </w:t>
      </w:r>
      <w:r w:rsidRPr="0002081B">
        <w:rPr>
          <w:rFonts w:eastAsia="Calibri"/>
          <w:noProof/>
        </w:rPr>
        <w:t>000) requiring a competitive tender procedure</w:t>
      </w:r>
      <w:r w:rsidRPr="0002081B">
        <w:rPr>
          <w:rStyle w:val="FootnoteReference"/>
          <w:rFonts w:eastAsia="Calibri"/>
          <w:noProof/>
        </w:rPr>
        <w:footnoteReference w:id="102"/>
      </w:r>
      <w:r w:rsidRPr="0002081B">
        <w:rPr>
          <w:rFonts w:eastAsia="Calibri"/>
          <w:noProof/>
        </w:rPr>
        <w:t xml:space="preserve">. </w:t>
      </w:r>
      <w:bookmarkStart w:id="16" w:name="_Hlk223795908"/>
      <w:r w:rsidRPr="0002081B">
        <w:rPr>
          <w:rFonts w:eastAsia="Calibri"/>
          <w:noProof/>
        </w:rPr>
        <w:t>The updated code of public procurement continues to be implemented, but its impact on the effectiveness and transparency of public procurement has not yet been assessed conclusively</w:t>
      </w:r>
      <w:r w:rsidRPr="0002081B">
        <w:rPr>
          <w:rStyle w:val="FootnoteReference"/>
          <w:rFonts w:eastAsia="Calibri"/>
          <w:noProof/>
        </w:rPr>
        <w:footnoteReference w:id="103"/>
      </w:r>
      <w:r w:rsidRPr="0002081B">
        <w:rPr>
          <w:rFonts w:eastAsia="Calibri"/>
          <w:noProof/>
        </w:rPr>
        <w:t>.</w:t>
      </w:r>
      <w:bookmarkStart w:id="17" w:name="_Hlk223795676"/>
      <w:bookmarkEnd w:id="16"/>
      <w:r w:rsidRPr="0002081B">
        <w:rPr>
          <w:rFonts w:eastAsia="Calibri"/>
          <w:noProof/>
        </w:rPr>
        <w:t xml:space="preserve"> The national anti-corruption strategy includes an action point aiming to strengthen the skills of administrators working in the field of public procurement</w:t>
      </w:r>
      <w:r w:rsidRPr="0002081B">
        <w:rPr>
          <w:rStyle w:val="FootnoteReference"/>
          <w:rFonts w:eastAsia="Calibri"/>
          <w:noProof/>
        </w:rPr>
        <w:footnoteReference w:id="104"/>
      </w:r>
      <w:r w:rsidRPr="0002081B">
        <w:rPr>
          <w:rFonts w:eastAsia="Calibri"/>
          <w:noProof/>
        </w:rPr>
        <w:t xml:space="preserve">. </w:t>
      </w:r>
      <w:bookmarkEnd w:id="17"/>
      <w:r w:rsidRPr="0002081B">
        <w:rPr>
          <w:noProof/>
          <w:lang w:eastAsia="fr-FR"/>
        </w:rPr>
        <w:t>The Single Transparency Portal, managed by ANAC, went online in September 2025. It collects data on whether public and private entities fulfil their legal transparency requirements</w:t>
      </w:r>
      <w:r w:rsidRPr="0002081B">
        <w:rPr>
          <w:rStyle w:val="FootnoteReference"/>
          <w:noProof/>
          <w:lang w:eastAsia="fr-FR"/>
        </w:rPr>
        <w:footnoteReference w:id="105"/>
      </w:r>
      <w:r w:rsidRPr="0002081B">
        <w:rPr>
          <w:noProof/>
          <w:lang w:eastAsia="fr-FR"/>
        </w:rPr>
        <w:t xml:space="preserve"> and allows to consult all publicly available data on public procurement online</w:t>
      </w:r>
      <w:r w:rsidRPr="0002081B">
        <w:rPr>
          <w:rStyle w:val="FootnoteReference"/>
          <w:noProof/>
          <w:lang w:eastAsia="fr-FR"/>
        </w:rPr>
        <w:footnoteReference w:id="106"/>
      </w:r>
      <w:r w:rsidRPr="0002081B">
        <w:rPr>
          <w:noProof/>
          <w:lang w:eastAsia="fr-FR"/>
        </w:rPr>
        <w:t>.</w:t>
      </w:r>
      <w:r w:rsidRPr="0002081B">
        <w:rPr>
          <w:rFonts w:eastAsia="Calibri"/>
          <w:noProof/>
        </w:rPr>
        <w:t xml:space="preserve"> </w:t>
      </w:r>
      <w:r>
        <w:rPr>
          <w:rFonts w:eastAsia="Calibri"/>
          <w:noProof/>
        </w:rPr>
        <w:t xml:space="preserve">Regarding other </w:t>
      </w:r>
      <w:r w:rsidRPr="007C4638">
        <w:rPr>
          <w:rFonts w:eastAsia="Calibri"/>
          <w:noProof/>
        </w:rPr>
        <w:t>high-risk areas</w:t>
      </w:r>
      <w:r>
        <w:rPr>
          <w:rFonts w:eastAsia="Calibri"/>
          <w:noProof/>
        </w:rPr>
        <w:t xml:space="preserve"> for corruption, in addition to public procurement, ANAC identified </w:t>
      </w:r>
      <w:r w:rsidRPr="007C4638">
        <w:rPr>
          <w:rFonts w:eastAsia="Calibri"/>
          <w:noProof/>
          <w:lang w:val="en-IE"/>
        </w:rPr>
        <w:t>healthcare, </w:t>
      </w:r>
      <w:r>
        <w:rPr>
          <w:rFonts w:eastAsia="Calibri"/>
          <w:noProof/>
          <w:lang w:val="en-IE"/>
        </w:rPr>
        <w:t xml:space="preserve">as well as </w:t>
      </w:r>
      <w:r w:rsidRPr="007C4638">
        <w:rPr>
          <w:rFonts w:eastAsia="Calibri"/>
          <w:noProof/>
          <w:lang w:val="en-IE"/>
        </w:rPr>
        <w:t>waste and land management</w:t>
      </w:r>
      <w:r>
        <w:rPr>
          <w:rStyle w:val="FootnoteReference"/>
          <w:rFonts w:eastAsia="Calibri"/>
          <w:noProof/>
          <w:lang w:val="fr-FR"/>
        </w:rPr>
        <w:footnoteReference w:id="107"/>
      </w:r>
      <w:r w:rsidRPr="007C4638">
        <w:rPr>
          <w:rFonts w:eastAsia="Calibri"/>
          <w:noProof/>
          <w:lang w:val="en-IE"/>
        </w:rPr>
        <w:t>.</w:t>
      </w:r>
      <w:r w:rsidRPr="00B24351">
        <w:rPr>
          <w:rFonts w:eastAsia="Calibri"/>
          <w:noProof/>
        </w:rPr>
        <w:t> </w:t>
      </w:r>
      <w:r w:rsidRPr="00B24351" w:rsidDel="00B24351">
        <w:rPr>
          <w:rFonts w:eastAsia="Calibri"/>
          <w:noProof/>
        </w:rPr>
        <w:t xml:space="preserve"> </w:t>
      </w:r>
    </w:p>
    <w:p w14:paraId="2B8785AC" w14:textId="77777777" w:rsidR="00490F94" w:rsidRPr="00705438" w:rsidRDefault="00490F94" w:rsidP="00DB189C">
      <w:pPr>
        <w:pStyle w:val="Heading1"/>
        <w:numPr>
          <w:ilvl w:val="0"/>
          <w:numId w:val="37"/>
        </w:numPr>
        <w:spacing w:before="0"/>
        <w:rPr>
          <w:noProof/>
          <w:u w:val="single"/>
        </w:rPr>
      </w:pPr>
      <w:r w:rsidRPr="00705438">
        <w:rPr>
          <w:noProof/>
          <w:u w:val="single"/>
        </w:rPr>
        <w:t xml:space="preserve">Media Pluralism and Media Freedom </w:t>
      </w:r>
    </w:p>
    <w:p w14:paraId="091FE976" w14:textId="6E7C5BB1" w:rsidR="00490F94" w:rsidRPr="00703B6E" w:rsidRDefault="00490F94" w:rsidP="00490F94">
      <w:pPr>
        <w:rPr>
          <w:noProof/>
          <w:lang w:eastAsia="fr-FR"/>
        </w:rPr>
      </w:pPr>
      <w:r w:rsidRPr="0D805F81">
        <w:rPr>
          <w:b/>
          <w:bCs/>
          <w:noProof/>
          <w:lang w:eastAsia="fr-FR"/>
        </w:rPr>
        <w:t xml:space="preserve">The media regulator continues to exercise its functions independently, and its financial autonomy has been reinforced. </w:t>
      </w:r>
      <w:r w:rsidRPr="0FF586BA">
        <w:rPr>
          <w:noProof/>
          <w:lang w:eastAsia="fr-FR"/>
        </w:rPr>
        <w:t>The media regulator, the Communication Regulatory Authority (AGCOM), relies on a well-established legal framework safeguarding its functional autonomy and the independent exercise of its regulatory powers</w:t>
      </w:r>
      <w:r w:rsidRPr="0FF586BA">
        <w:rPr>
          <w:rStyle w:val="FootnoteReference"/>
          <w:noProof/>
          <w:lang w:eastAsia="fr-FR"/>
        </w:rPr>
        <w:footnoteReference w:id="108"/>
      </w:r>
      <w:r w:rsidRPr="0FF586BA">
        <w:rPr>
          <w:noProof/>
          <w:lang w:eastAsia="fr-FR"/>
        </w:rPr>
        <w:t>. The self-financing system of AGCOM, based on contributions that the regulator collects from entities operating under its regulatory remit, has been adjusted to reinforce its financial independence and stability</w:t>
      </w:r>
      <w:r w:rsidRPr="0FF586BA">
        <w:rPr>
          <w:rStyle w:val="FootnoteReference"/>
          <w:noProof/>
          <w:lang w:eastAsia="fr-FR"/>
        </w:rPr>
        <w:footnoteReference w:id="109"/>
      </w:r>
      <w:r w:rsidRPr="0FF586BA">
        <w:rPr>
          <w:noProof/>
          <w:lang w:eastAsia="fr-FR"/>
        </w:rPr>
        <w:t>. Following a recently concluded recruitment cycle, staffing levels of AGCOM are expected to increase, which should contribute to the authority’s capacity to address its expanding regulatory functions, particularly in the digital domain</w:t>
      </w:r>
      <w:r w:rsidRPr="0FF586BA">
        <w:rPr>
          <w:rStyle w:val="FootnoteReference"/>
          <w:noProof/>
          <w:lang w:eastAsia="fr-FR"/>
        </w:rPr>
        <w:footnoteReference w:id="110"/>
      </w:r>
      <w:r w:rsidRPr="0FF586BA">
        <w:rPr>
          <w:noProof/>
          <w:lang w:eastAsia="fr-FR"/>
        </w:rPr>
        <w:t xml:space="preserve">.  </w:t>
      </w:r>
    </w:p>
    <w:p w14:paraId="284BFC68" w14:textId="77777777" w:rsidR="00490F94" w:rsidRPr="0002081B" w:rsidRDefault="00490F94" w:rsidP="00490F94">
      <w:pPr>
        <w:rPr>
          <w:noProof/>
          <w:lang w:eastAsia="fr-FR"/>
        </w:rPr>
      </w:pPr>
      <w:r>
        <w:rPr>
          <w:b/>
          <w:bCs/>
          <w:noProof/>
          <w:lang w:eastAsia="fr-FR"/>
        </w:rPr>
        <w:t xml:space="preserve">The </w:t>
      </w:r>
      <w:r w:rsidRPr="0BB77766" w:rsidDel="00706EE7">
        <w:rPr>
          <w:b/>
          <w:bCs/>
          <w:noProof/>
          <w:lang w:eastAsia="fr-FR"/>
        </w:rPr>
        <w:t xml:space="preserve">reform of public service </w:t>
      </w:r>
      <w:r w:rsidRPr="0BB77766">
        <w:rPr>
          <w:b/>
          <w:bCs/>
          <w:noProof/>
          <w:lang w:eastAsia="fr-FR"/>
        </w:rPr>
        <w:t>media</w:t>
      </w:r>
      <w:r>
        <w:rPr>
          <w:b/>
          <w:bCs/>
          <w:noProof/>
          <w:lang w:eastAsia="fr-FR"/>
        </w:rPr>
        <w:t>’s governance and funding</w:t>
      </w:r>
      <w:r w:rsidRPr="0BB77766" w:rsidDel="00706EE7">
        <w:rPr>
          <w:b/>
          <w:bCs/>
          <w:noProof/>
          <w:lang w:eastAsia="fr-FR"/>
        </w:rPr>
        <w:t xml:space="preserve"> rules</w:t>
      </w:r>
      <w:r>
        <w:rPr>
          <w:b/>
          <w:bCs/>
          <w:noProof/>
          <w:lang w:eastAsia="fr-FR"/>
        </w:rPr>
        <w:t xml:space="preserve"> continued</w:t>
      </w:r>
      <w:r w:rsidRPr="0BB77766" w:rsidDel="00706EE7">
        <w:rPr>
          <w:b/>
          <w:bCs/>
          <w:noProof/>
          <w:lang w:eastAsia="fr-FR"/>
        </w:rPr>
        <w:t>, with a legislative draft under consideration by the Parliament</w:t>
      </w:r>
      <w:r w:rsidRPr="0BB77766">
        <w:rPr>
          <w:b/>
          <w:bCs/>
          <w:noProof/>
          <w:vertAlign w:val="superscript"/>
          <w:lang w:eastAsia="fr-FR"/>
        </w:rPr>
        <w:footnoteReference w:id="111"/>
      </w:r>
      <w:r w:rsidRPr="0BB77766">
        <w:rPr>
          <w:b/>
          <w:bCs/>
          <w:noProof/>
          <w:lang w:eastAsia="fr-FR"/>
        </w:rPr>
        <w:t>.</w:t>
      </w:r>
      <w:r w:rsidRPr="0002081B">
        <w:rPr>
          <w:noProof/>
          <w:lang w:eastAsia="fr-FR"/>
        </w:rPr>
        <w:t xml:space="preserve"> As part of its public service mission, the media service broadcaster RAI - Radiotelevisione Italiana strives to ensure effective news and current affairs coverage, and to improve the safety and working conditions of its journalists</w:t>
      </w:r>
      <w:r w:rsidRPr="0FF586BA">
        <w:rPr>
          <w:noProof/>
          <w:vertAlign w:val="superscript"/>
          <w:lang w:eastAsia="fr-FR"/>
        </w:rPr>
        <w:footnoteReference w:id="112"/>
      </w:r>
      <w:r w:rsidRPr="0002081B">
        <w:rPr>
          <w:noProof/>
          <w:lang w:eastAsia="fr-FR"/>
        </w:rPr>
        <w:t xml:space="preserve">. </w:t>
      </w:r>
      <w:r>
        <w:rPr>
          <w:noProof/>
          <w:lang w:eastAsia="fr-FR"/>
        </w:rPr>
        <w:t>With a view to aligning with EMFA, a</w:t>
      </w:r>
      <w:r w:rsidRPr="0002081B">
        <w:rPr>
          <w:noProof/>
          <w:lang w:eastAsia="fr-FR"/>
        </w:rPr>
        <w:t xml:space="preserve"> draft proposal</w:t>
      </w:r>
      <w:r>
        <w:rPr>
          <w:rStyle w:val="FootnoteReference"/>
          <w:noProof/>
          <w:lang w:eastAsia="fr-FR"/>
        </w:rPr>
        <w:footnoteReference w:id="113"/>
      </w:r>
      <w:r w:rsidRPr="0002081B">
        <w:rPr>
          <w:noProof/>
          <w:lang w:eastAsia="fr-FR"/>
        </w:rPr>
        <w:t xml:space="preserve"> to reform RAI’s governance and funding rules is under consideration in the Senate</w:t>
      </w:r>
      <w:r w:rsidRPr="0BB77766">
        <w:rPr>
          <w:noProof/>
          <w:vertAlign w:val="superscript"/>
          <w:lang w:eastAsia="fr-FR"/>
        </w:rPr>
        <w:footnoteReference w:id="114"/>
      </w:r>
      <w:r w:rsidRPr="0002081B">
        <w:rPr>
          <w:noProof/>
          <w:lang w:eastAsia="fr-FR"/>
        </w:rPr>
        <w:t>.</w:t>
      </w:r>
      <w:r>
        <w:rPr>
          <w:noProof/>
          <w:lang w:eastAsia="fr-FR"/>
        </w:rPr>
        <w:t xml:space="preserve"> </w:t>
      </w:r>
      <w:r w:rsidRPr="0002081B">
        <w:rPr>
          <w:noProof/>
          <w:lang w:eastAsia="fr-FR"/>
        </w:rPr>
        <w:t>The Government indicated that the draft is aimed at strengthening the independence of RAI and better safeguarding its financial stability</w:t>
      </w:r>
      <w:r>
        <w:rPr>
          <w:rStyle w:val="FootnoteReference"/>
          <w:noProof/>
          <w:lang w:eastAsia="fr-FR"/>
        </w:rPr>
        <w:footnoteReference w:id="115"/>
      </w:r>
      <w:r w:rsidRPr="0002081B">
        <w:rPr>
          <w:noProof/>
          <w:lang w:eastAsia="fr-FR"/>
        </w:rPr>
        <w:t xml:space="preserve">. Although stakeholders </w:t>
      </w:r>
      <w:r>
        <w:rPr>
          <w:noProof/>
          <w:lang w:eastAsia="fr-FR"/>
        </w:rPr>
        <w:t>deemed</w:t>
      </w:r>
      <w:r w:rsidRPr="0002081B">
        <w:rPr>
          <w:noProof/>
          <w:lang w:eastAsia="fr-FR"/>
        </w:rPr>
        <w:t xml:space="preserve"> that some aspects of the reform seem to go in the right direction, they are also of the view that the proposed changes </w:t>
      </w:r>
      <w:r w:rsidRPr="0FF586BA">
        <w:rPr>
          <w:noProof/>
          <w:lang w:eastAsia="fr-FR"/>
        </w:rPr>
        <w:t>t</w:t>
      </w:r>
      <w:r w:rsidRPr="0002081B">
        <w:rPr>
          <w:noProof/>
          <w:lang w:eastAsia="fr-FR"/>
        </w:rPr>
        <w:t>o RAI’s governance and funding</w:t>
      </w:r>
      <w:r>
        <w:rPr>
          <w:noProof/>
          <w:lang w:eastAsia="fr-FR"/>
        </w:rPr>
        <w:t xml:space="preserve"> </w:t>
      </w:r>
      <w:r w:rsidRPr="0002081B">
        <w:rPr>
          <w:noProof/>
          <w:lang w:eastAsia="fr-FR"/>
        </w:rPr>
        <w:t>can be improved</w:t>
      </w:r>
      <w:r>
        <w:rPr>
          <w:rStyle w:val="FootnoteReference"/>
          <w:noProof/>
          <w:lang w:eastAsia="fr-FR"/>
        </w:rPr>
        <w:footnoteReference w:id="116"/>
      </w:r>
      <w:r w:rsidRPr="0002081B">
        <w:rPr>
          <w:noProof/>
          <w:lang w:eastAsia="fr-FR"/>
        </w:rPr>
        <w:t>. At the same time, concerns remain regarding risks to its independent functioning and financial viability. Although RAI indicated that the delay in appointing the President of its management board did not affect its operations</w:t>
      </w:r>
      <w:r w:rsidRPr="0FF586BA">
        <w:rPr>
          <w:noProof/>
          <w:vertAlign w:val="superscript"/>
          <w:lang w:eastAsia="fr-FR"/>
        </w:rPr>
        <w:footnoteReference w:id="117"/>
      </w:r>
      <w:r w:rsidRPr="0002081B">
        <w:rPr>
          <w:noProof/>
          <w:lang w:eastAsia="fr-FR"/>
        </w:rPr>
        <w:t xml:space="preserve">, some stakeholders considered the political stalemate and inability to find consensus on the appointment </w:t>
      </w:r>
      <w:r w:rsidRPr="0FF586BA">
        <w:rPr>
          <w:noProof/>
          <w:lang w:eastAsia="fr-FR"/>
        </w:rPr>
        <w:t xml:space="preserve">to be </w:t>
      </w:r>
      <w:r w:rsidRPr="0002081B">
        <w:rPr>
          <w:noProof/>
          <w:lang w:eastAsia="fr-FR"/>
        </w:rPr>
        <w:t xml:space="preserve">an </w:t>
      </w:r>
      <w:r>
        <w:rPr>
          <w:noProof/>
          <w:lang w:eastAsia="fr-FR"/>
        </w:rPr>
        <w:t>illustration</w:t>
      </w:r>
      <w:r w:rsidRPr="0002081B">
        <w:rPr>
          <w:noProof/>
          <w:lang w:eastAsia="fr-FR"/>
        </w:rPr>
        <w:t xml:space="preserve"> of the shortcomings of the current rules in effectively shielding RAI from risks of undue influence</w:t>
      </w:r>
      <w:r w:rsidRPr="0FF586BA">
        <w:rPr>
          <w:noProof/>
          <w:vertAlign w:val="superscript"/>
          <w:lang w:eastAsia="fr-FR"/>
        </w:rPr>
        <w:footnoteReference w:id="118"/>
      </w:r>
      <w:r w:rsidRPr="0002081B">
        <w:rPr>
          <w:noProof/>
          <w:lang w:eastAsia="fr-FR"/>
        </w:rPr>
        <w:t xml:space="preserve">. </w:t>
      </w:r>
      <w:r>
        <w:rPr>
          <w:noProof/>
          <w:lang w:eastAsia="fr-FR"/>
        </w:rPr>
        <w:t xml:space="preserve">While the Government indicated that </w:t>
      </w:r>
      <w:r w:rsidRPr="0002081B">
        <w:rPr>
          <w:noProof/>
          <w:lang w:eastAsia="fr-FR"/>
        </w:rPr>
        <w:t>the EUR</w:t>
      </w:r>
      <w:r>
        <w:rPr>
          <w:noProof/>
          <w:lang w:eastAsia="fr-FR"/>
        </w:rPr>
        <w:t> </w:t>
      </w:r>
      <w:r w:rsidRPr="0002081B">
        <w:rPr>
          <w:noProof/>
          <w:lang w:eastAsia="fr-FR"/>
        </w:rPr>
        <w:t>10</w:t>
      </w:r>
      <w:r>
        <w:rPr>
          <w:noProof/>
          <w:lang w:eastAsia="fr-FR"/>
        </w:rPr>
        <w:t> </w:t>
      </w:r>
      <w:r w:rsidRPr="0002081B">
        <w:rPr>
          <w:noProof/>
          <w:lang w:eastAsia="fr-FR"/>
        </w:rPr>
        <w:t xml:space="preserve">million reduction in public funding </w:t>
      </w:r>
      <w:r>
        <w:rPr>
          <w:noProof/>
          <w:lang w:eastAsia="fr-FR"/>
        </w:rPr>
        <w:t>for</w:t>
      </w:r>
      <w:r w:rsidRPr="0002081B">
        <w:rPr>
          <w:noProof/>
          <w:lang w:eastAsia="fr-FR"/>
        </w:rPr>
        <w:t xml:space="preserve"> RAI </w:t>
      </w:r>
      <w:r>
        <w:rPr>
          <w:noProof/>
          <w:lang w:eastAsia="fr-FR"/>
        </w:rPr>
        <w:t>in</w:t>
      </w:r>
      <w:r w:rsidRPr="0002081B">
        <w:rPr>
          <w:noProof/>
          <w:lang w:eastAsia="fr-FR"/>
        </w:rPr>
        <w:t xml:space="preserve"> 2026 </w:t>
      </w:r>
      <w:r>
        <w:rPr>
          <w:noProof/>
          <w:lang w:eastAsia="fr-FR"/>
        </w:rPr>
        <w:t>was intended to rationalise RAI’s operating costs</w:t>
      </w:r>
      <w:r>
        <w:rPr>
          <w:rStyle w:val="FootnoteReference"/>
          <w:noProof/>
          <w:lang w:eastAsia="fr-FR"/>
        </w:rPr>
        <w:footnoteReference w:id="119"/>
      </w:r>
      <w:r>
        <w:rPr>
          <w:noProof/>
          <w:lang w:eastAsia="fr-FR"/>
        </w:rPr>
        <w:t>, stakeholders expressed concerns regarding</w:t>
      </w:r>
      <w:r w:rsidRPr="0002081B">
        <w:rPr>
          <w:noProof/>
          <w:lang w:eastAsia="fr-FR"/>
        </w:rPr>
        <w:t xml:space="preserve"> its impact on the public service media’s financial stability and predictability</w:t>
      </w:r>
      <w:r w:rsidRPr="0FF586BA">
        <w:rPr>
          <w:noProof/>
          <w:vertAlign w:val="superscript"/>
          <w:lang w:eastAsia="fr-FR"/>
        </w:rPr>
        <w:footnoteReference w:id="120"/>
      </w:r>
      <w:r w:rsidRPr="0002081B">
        <w:rPr>
          <w:noProof/>
          <w:lang w:eastAsia="fr-FR"/>
        </w:rPr>
        <w:t>. RAI deemed the new cost-containment requirements for 2026 and 2027 to be a risk to its financial viability and ability to effectively compete on the market</w:t>
      </w:r>
      <w:r w:rsidRPr="0FF586BA">
        <w:rPr>
          <w:noProof/>
          <w:vertAlign w:val="superscript"/>
          <w:lang w:eastAsia="fr-FR"/>
        </w:rPr>
        <w:footnoteReference w:id="121"/>
      </w:r>
      <w:r w:rsidRPr="0002081B">
        <w:rPr>
          <w:noProof/>
          <w:lang w:eastAsia="fr-FR"/>
        </w:rPr>
        <w:t>. Against this background, there has been some further progress on the recommendation made in the 2025 Rule of Law Report.</w:t>
      </w:r>
    </w:p>
    <w:p w14:paraId="061EDF87" w14:textId="77777777" w:rsidR="00490F94" w:rsidRPr="0002081B" w:rsidRDefault="00490F94" w:rsidP="00490F94">
      <w:pPr>
        <w:rPr>
          <w:noProof/>
          <w:lang w:eastAsia="fr-FR"/>
        </w:rPr>
      </w:pPr>
      <w:r w:rsidRPr="0BB77766">
        <w:rPr>
          <w:b/>
          <w:bCs/>
          <w:noProof/>
          <w:lang w:eastAsia="fr-FR"/>
        </w:rPr>
        <w:t xml:space="preserve">A dedicated system to support the media sector is in place while the rules on media market concentrations were updated. </w:t>
      </w:r>
      <w:r w:rsidRPr="0002081B">
        <w:rPr>
          <w:noProof/>
          <w:lang w:eastAsia="fr-FR"/>
        </w:rPr>
        <w:t>A system of public funding, the primary instrument of it being the Single Fund</w:t>
      </w:r>
      <w:r w:rsidRPr="0002081B">
        <w:rPr>
          <w:noProof/>
          <w:vertAlign w:val="superscript"/>
          <w:lang w:eastAsia="fr-FR"/>
        </w:rPr>
        <w:t xml:space="preserve"> </w:t>
      </w:r>
      <w:r w:rsidRPr="0FF586BA">
        <w:rPr>
          <w:noProof/>
          <w:vertAlign w:val="superscript"/>
          <w:lang w:eastAsia="fr-FR"/>
        </w:rPr>
        <w:footnoteReference w:id="122"/>
      </w:r>
      <w:r w:rsidRPr="0002081B">
        <w:rPr>
          <w:noProof/>
          <w:lang w:eastAsia="fr-FR"/>
        </w:rPr>
        <w:t>, is in place to support the media sector</w:t>
      </w:r>
      <w:r w:rsidRPr="0FF586BA">
        <w:rPr>
          <w:rStyle w:val="FootnoteReference"/>
          <w:noProof/>
          <w:lang w:eastAsia="fr-FR"/>
        </w:rPr>
        <w:footnoteReference w:id="123"/>
      </w:r>
      <w:r w:rsidRPr="0002081B">
        <w:rPr>
          <w:noProof/>
          <w:lang w:eastAsia="fr-FR"/>
        </w:rPr>
        <w:t>. In 2025, the national framework on media market concentrations has been adjusted to clarify that AGCOM’s assessment powers regarding positions of significant market power, detrimental to media pluralism, also cover transactions involving online players such as video-sharing platforms and social networks</w:t>
      </w:r>
      <w:r w:rsidRPr="0FF586BA">
        <w:rPr>
          <w:noProof/>
          <w:vertAlign w:val="superscript"/>
          <w:lang w:eastAsia="fr-FR"/>
        </w:rPr>
        <w:footnoteReference w:id="124"/>
      </w:r>
      <w:r w:rsidRPr="0002081B">
        <w:rPr>
          <w:noProof/>
          <w:lang w:eastAsia="fr-FR"/>
        </w:rPr>
        <w:t xml:space="preserve">. </w:t>
      </w:r>
      <w:r w:rsidRPr="0002081B" w:rsidDel="00413ACA">
        <w:rPr>
          <w:noProof/>
          <w:lang w:eastAsia="fr-FR"/>
        </w:rPr>
        <w:t>Stakeholders mentioned overregulation and related competitive disadvantages compared to online players as among the main challenges for the creative and cultural sector’s sustainability</w:t>
      </w:r>
      <w:r w:rsidRPr="0FF586BA">
        <w:rPr>
          <w:rStyle w:val="FootnoteReference"/>
          <w:noProof/>
          <w:lang w:eastAsia="fr-FR"/>
        </w:rPr>
        <w:footnoteReference w:id="125"/>
      </w:r>
      <w:r w:rsidRPr="0002081B" w:rsidDel="00413ACA">
        <w:rPr>
          <w:noProof/>
          <w:lang w:eastAsia="fr-FR"/>
        </w:rPr>
        <w:t>.</w:t>
      </w:r>
    </w:p>
    <w:p w14:paraId="6971E4EE" w14:textId="0C8C362B" w:rsidR="00490F94" w:rsidRPr="00703B6E" w:rsidRDefault="00490F94" w:rsidP="00490F94">
      <w:pPr>
        <w:rPr>
          <w:noProof/>
          <w:lang w:val="en-IE" w:eastAsia="fr-FR"/>
        </w:rPr>
      </w:pPr>
      <w:r>
        <w:rPr>
          <w:b/>
          <w:bCs/>
          <w:noProof/>
          <w:lang w:val="en-IE" w:eastAsia="fr-FR"/>
        </w:rPr>
        <w:t>New legislative initiatives on the protection of journalists</w:t>
      </w:r>
      <w:r w:rsidDel="001C5EFF">
        <w:rPr>
          <w:b/>
          <w:bCs/>
          <w:noProof/>
          <w:lang w:val="en-IE" w:eastAsia="fr-FR"/>
        </w:rPr>
        <w:t xml:space="preserve"> </w:t>
      </w:r>
      <w:r>
        <w:rPr>
          <w:b/>
          <w:bCs/>
          <w:noProof/>
          <w:lang w:val="en-IE" w:eastAsia="fr-FR"/>
        </w:rPr>
        <w:t>are under development, while</w:t>
      </w:r>
      <w:r w:rsidRPr="0BB77766">
        <w:rPr>
          <w:b/>
          <w:bCs/>
          <w:noProof/>
          <w:lang w:val="en-IE" w:eastAsia="fr-FR"/>
        </w:rPr>
        <w:t xml:space="preserve"> physical attacks and other forms of intimidations remain a source of concern. </w:t>
      </w:r>
      <w:r w:rsidRPr="0002081B">
        <w:rPr>
          <w:noProof/>
          <w:lang w:val="en-IE" w:eastAsia="fr-FR"/>
        </w:rPr>
        <w:t>The legal framework provides specific protection protocols for journalists under threats.</w:t>
      </w:r>
      <w:r w:rsidRPr="0FF586BA">
        <w:rPr>
          <w:rStyle w:val="FootnoteReference"/>
          <w:noProof/>
          <w:lang w:val="en-IE" w:eastAsia="fr-FR"/>
        </w:rPr>
        <w:footnoteReference w:id="126"/>
      </w:r>
      <w:r w:rsidRPr="0002081B">
        <w:rPr>
          <w:noProof/>
          <w:lang w:val="en-IE" w:eastAsia="fr-FR"/>
        </w:rPr>
        <w:t xml:space="preserve"> </w:t>
      </w:r>
      <w:r w:rsidRPr="0FF586BA">
        <w:rPr>
          <w:noProof/>
          <w:lang w:val="en-IE" w:eastAsia="fr-FR"/>
        </w:rPr>
        <w:t xml:space="preserve">The Specialised Coordination Centre, </w:t>
      </w:r>
      <w:r w:rsidRPr="0002081B">
        <w:rPr>
          <w:noProof/>
          <w:lang w:val="en-IE" w:eastAsia="fr-FR"/>
        </w:rPr>
        <w:t>established within the Ministry of Interior,</w:t>
      </w:r>
      <w:r w:rsidRPr="0FF586BA">
        <w:rPr>
          <w:noProof/>
          <w:lang w:val="en-IE" w:eastAsia="fr-FR"/>
        </w:rPr>
        <w:t xml:space="preserve"> monitors and reports about cases of intimidation against journalists, promotes exchanges of information and views on potential new policy initiatives</w:t>
      </w:r>
      <w:r w:rsidRPr="0FF586BA">
        <w:rPr>
          <w:noProof/>
          <w:vertAlign w:val="superscript"/>
          <w:lang w:val="en-IE" w:eastAsia="fr-FR"/>
        </w:rPr>
        <w:footnoteReference w:id="127"/>
      </w:r>
      <w:r w:rsidRPr="0FF586BA">
        <w:rPr>
          <w:noProof/>
          <w:lang w:val="en-IE" w:eastAsia="fr-FR"/>
        </w:rPr>
        <w:t>, and continues to be considered by media stakeholders as a good practice to support journalists’ safety</w:t>
      </w:r>
      <w:r w:rsidRPr="0FF586BA">
        <w:rPr>
          <w:noProof/>
          <w:vertAlign w:val="superscript"/>
          <w:lang w:val="en-IE" w:eastAsia="fr-FR"/>
        </w:rPr>
        <w:footnoteReference w:id="128"/>
      </w:r>
      <w:r w:rsidRPr="0FF586BA">
        <w:rPr>
          <w:noProof/>
          <w:lang w:val="en-IE" w:eastAsia="fr-FR"/>
        </w:rPr>
        <w:t>. Precarious working conditions</w:t>
      </w:r>
      <w:r w:rsidRPr="0FF586BA">
        <w:rPr>
          <w:noProof/>
          <w:vertAlign w:val="superscript"/>
          <w:lang w:val="en-IE" w:eastAsia="fr-FR"/>
        </w:rPr>
        <w:footnoteReference w:id="129"/>
      </w:r>
      <w:r w:rsidRPr="0FF586BA">
        <w:rPr>
          <w:noProof/>
          <w:lang w:val="en-IE" w:eastAsia="fr-FR"/>
        </w:rPr>
        <w:t xml:space="preserve"> </w:t>
      </w:r>
      <w:r>
        <w:rPr>
          <w:noProof/>
          <w:lang w:val="en-IE" w:eastAsia="fr-FR"/>
        </w:rPr>
        <w:t xml:space="preserve">and </w:t>
      </w:r>
      <w:r w:rsidRPr="0FF586BA">
        <w:rPr>
          <w:noProof/>
          <w:lang w:val="en-IE" w:eastAsia="fr-FR"/>
        </w:rPr>
        <w:t>exposure to attacks, threats and other forms of intimidation, including through vexatious legal actions</w:t>
      </w:r>
      <w:r w:rsidRPr="2F149791">
        <w:rPr>
          <w:noProof/>
          <w:lang w:val="en-IE" w:eastAsia="fr-FR"/>
        </w:rPr>
        <w:t>, some of them identified as SLAPPs</w:t>
      </w:r>
      <w:r>
        <w:rPr>
          <w:rStyle w:val="FootnoteReference"/>
          <w:noProof/>
          <w:lang w:val="en-IE" w:eastAsia="fr-FR"/>
        </w:rPr>
        <w:footnoteReference w:id="130"/>
      </w:r>
      <w:r w:rsidRPr="0FF586BA">
        <w:rPr>
          <w:noProof/>
          <w:lang w:val="en-IE" w:eastAsia="fr-FR"/>
        </w:rPr>
        <w:t>, remain a source of concern for journalists</w:t>
      </w:r>
      <w:r w:rsidRPr="0FF586BA">
        <w:rPr>
          <w:noProof/>
          <w:vertAlign w:val="superscript"/>
          <w:lang w:val="en-IE" w:eastAsia="fr-FR"/>
        </w:rPr>
        <w:footnoteReference w:id="131"/>
      </w:r>
      <w:r w:rsidRPr="0FF586BA">
        <w:rPr>
          <w:noProof/>
          <w:lang w:val="en-IE" w:eastAsia="fr-FR"/>
        </w:rPr>
        <w:t>.</w:t>
      </w:r>
      <w:r>
        <w:rPr>
          <w:noProof/>
          <w:lang w:val="en-IE" w:eastAsia="fr-FR"/>
        </w:rPr>
        <w:t xml:space="preserve"> </w:t>
      </w:r>
      <w:r>
        <w:rPr>
          <w:noProof/>
        </w:rPr>
        <w:t>T</w:t>
      </w:r>
      <w:r>
        <w:rPr>
          <w:noProof/>
          <w:lang w:val="en-IE" w:eastAsia="fr-FR"/>
        </w:rPr>
        <w:t xml:space="preserve">he </w:t>
      </w:r>
      <w:r w:rsidRPr="001D2576">
        <w:rPr>
          <w:noProof/>
          <w:lang w:val="en-IE" w:eastAsia="fr-FR"/>
        </w:rPr>
        <w:t>Ital</w:t>
      </w:r>
      <w:r>
        <w:rPr>
          <w:noProof/>
          <w:lang w:val="en-IE" w:eastAsia="fr-FR"/>
        </w:rPr>
        <w:t>ian Government</w:t>
      </w:r>
      <w:r w:rsidRPr="001D2576">
        <w:rPr>
          <w:noProof/>
          <w:lang w:val="en-IE" w:eastAsia="fr-FR"/>
        </w:rPr>
        <w:t xml:space="preserve"> is </w:t>
      </w:r>
      <w:r w:rsidRPr="00D92D10">
        <w:rPr>
          <w:noProof/>
          <w:lang w:val="en-IE" w:eastAsia="fr-FR"/>
        </w:rPr>
        <w:t>yet</w:t>
      </w:r>
      <w:r w:rsidRPr="001D2576">
        <w:rPr>
          <w:noProof/>
          <w:lang w:val="en-IE" w:eastAsia="fr-FR"/>
        </w:rPr>
        <w:t xml:space="preserve"> to adopt </w:t>
      </w:r>
      <w:r w:rsidRPr="00D92D10">
        <w:rPr>
          <w:noProof/>
          <w:lang w:val="en-IE" w:eastAsia="fr-FR"/>
        </w:rPr>
        <w:t>secondary</w:t>
      </w:r>
      <w:r w:rsidRPr="001D2576">
        <w:rPr>
          <w:noProof/>
          <w:lang w:val="en-IE" w:eastAsia="fr-FR"/>
        </w:rPr>
        <w:t xml:space="preserve"> legislation to transpose the </w:t>
      </w:r>
      <w:r w:rsidRPr="00D92D10">
        <w:rPr>
          <w:noProof/>
          <w:lang w:val="en-IE" w:eastAsia="fr-FR"/>
        </w:rPr>
        <w:t>Anti-</w:t>
      </w:r>
      <w:r w:rsidRPr="001D2576">
        <w:rPr>
          <w:noProof/>
          <w:lang w:val="en-IE" w:eastAsia="fr-FR"/>
        </w:rPr>
        <w:t>SLAPP Directive</w:t>
      </w:r>
      <w:r w:rsidRPr="001D2576">
        <w:rPr>
          <w:noProof/>
          <w:vertAlign w:val="superscript"/>
          <w:lang w:val="en-IE" w:eastAsia="fr-FR"/>
        </w:rPr>
        <w:footnoteReference w:id="132"/>
      </w:r>
      <w:r w:rsidRPr="001D2576">
        <w:rPr>
          <w:noProof/>
          <w:lang w:val="en-IE" w:eastAsia="fr-FR"/>
        </w:rPr>
        <w:t>.</w:t>
      </w:r>
      <w:r w:rsidRPr="00997248">
        <w:rPr>
          <w:noProof/>
          <w:lang w:val="en-IE" w:eastAsia="fr-FR"/>
        </w:rPr>
        <w:t xml:space="preserve"> Stakeholders</w:t>
      </w:r>
      <w:r w:rsidRPr="0FF586BA">
        <w:rPr>
          <w:noProof/>
          <w:lang w:val="en-IE" w:eastAsia="fr-FR"/>
        </w:rPr>
        <w:t xml:space="preserve"> indicated a worsening of the situation with an increase of cases of physical attacks and threats in the second half of 2025, which also included serious incidents like a bombing attack against a journalist and host of a RAI programme</w:t>
      </w:r>
      <w:r w:rsidR="00F63F84">
        <w:rPr>
          <w:rStyle w:val="FootnoteReference"/>
          <w:noProof/>
          <w:lang w:val="en-IE" w:eastAsia="fr-FR"/>
        </w:rPr>
        <w:footnoteReference w:id="133"/>
      </w:r>
      <w:r w:rsidR="00F63F84">
        <w:rPr>
          <w:noProof/>
          <w:lang w:val="en-IE" w:eastAsia="fr-FR"/>
        </w:rPr>
        <w:t>,</w:t>
      </w:r>
      <w:r w:rsidRPr="0FF586BA">
        <w:rPr>
          <w:noProof/>
          <w:lang w:val="en-IE" w:eastAsia="fr-FR"/>
        </w:rPr>
        <w:t xml:space="preserve"> and the storming by protesters of the offices of a daily newspaper</w:t>
      </w:r>
      <w:r w:rsidRPr="0FF586BA">
        <w:rPr>
          <w:noProof/>
          <w:vertAlign w:val="superscript"/>
          <w:lang w:val="en-IE" w:eastAsia="fr-FR"/>
        </w:rPr>
        <w:footnoteReference w:id="134"/>
      </w:r>
      <w:r w:rsidRPr="0FF586BA">
        <w:rPr>
          <w:noProof/>
          <w:lang w:val="en-IE" w:eastAsia="fr-FR"/>
        </w:rPr>
        <w:t xml:space="preserve">. </w:t>
      </w:r>
      <w:r>
        <w:rPr>
          <w:noProof/>
          <w:lang w:val="en-IE" w:eastAsia="fr-FR"/>
        </w:rPr>
        <w:t xml:space="preserve">The Prosecutor’s Offices of Rome and Naples continue investigating </w:t>
      </w:r>
      <w:r w:rsidRPr="0FF586BA">
        <w:rPr>
          <w:noProof/>
          <w:lang w:val="en-IE" w:eastAsia="fr-FR"/>
        </w:rPr>
        <w:t xml:space="preserve">on the Paragon spyware case, </w:t>
      </w:r>
      <w:r>
        <w:rPr>
          <w:noProof/>
          <w:lang w:val="en-IE" w:eastAsia="fr-FR"/>
        </w:rPr>
        <w:t>including to identify the perpetrators</w:t>
      </w:r>
      <w:r w:rsidRPr="0FF586BA">
        <w:rPr>
          <w:noProof/>
          <w:vertAlign w:val="superscript"/>
          <w:lang w:val="en-IE" w:eastAsia="fr-FR"/>
        </w:rPr>
        <w:footnoteReference w:id="135"/>
      </w:r>
      <w:r w:rsidRPr="0FF586BA">
        <w:rPr>
          <w:noProof/>
          <w:lang w:val="en-IE" w:eastAsia="fr-FR"/>
        </w:rPr>
        <w:t xml:space="preserve">. Also, no new developments were reported on the regulation of access to and disclosure of certain judicial information by journalists, with stakeholders reiterating their concerns </w:t>
      </w:r>
      <w:r w:rsidR="009F697B">
        <w:rPr>
          <w:noProof/>
          <w:lang w:val="en-IE" w:eastAsia="fr-FR"/>
        </w:rPr>
        <w:t>about</w:t>
      </w:r>
      <w:r w:rsidR="009F697B" w:rsidRPr="0FF586BA">
        <w:rPr>
          <w:noProof/>
          <w:lang w:val="en-IE" w:eastAsia="fr-FR"/>
        </w:rPr>
        <w:t xml:space="preserve"> </w:t>
      </w:r>
      <w:r w:rsidRPr="0FF586BA">
        <w:rPr>
          <w:noProof/>
          <w:lang w:val="en-IE" w:eastAsia="fr-FR"/>
        </w:rPr>
        <w:t>the impact of these rules on freedom of information and press freedom</w:t>
      </w:r>
      <w:r w:rsidRPr="0FF586BA">
        <w:rPr>
          <w:rStyle w:val="FootnoteReference"/>
          <w:noProof/>
          <w:lang w:val="en-IE" w:eastAsia="fr-FR"/>
        </w:rPr>
        <w:footnoteReference w:id="136"/>
      </w:r>
      <w:r w:rsidR="00084B35">
        <w:rPr>
          <w:noProof/>
          <w:lang w:val="en-IE" w:eastAsia="fr-FR"/>
        </w:rPr>
        <w:t xml:space="preserve">, </w:t>
      </w:r>
      <w:r w:rsidR="00084B35" w:rsidRPr="00642C00">
        <w:rPr>
          <w:noProof/>
          <w:lang w:val="en-IE" w:eastAsia="fr-FR"/>
        </w:rPr>
        <w:t>while the Government considers that they ensure a fair balance between the presumption of innocence and freedom of information</w:t>
      </w:r>
      <w:r w:rsidRPr="0FF586BA">
        <w:rPr>
          <w:noProof/>
          <w:lang w:val="en-IE" w:eastAsia="fr-FR"/>
        </w:rPr>
        <w:t xml:space="preserve">. Since the publication of the 2025 Rule of Law Report, the Council of Europe’s platform to promote the protection of journalism and safety of journalists registered </w:t>
      </w:r>
      <w:r>
        <w:rPr>
          <w:noProof/>
          <w:lang w:val="en-IE" w:eastAsia="fr-FR"/>
        </w:rPr>
        <w:t>20</w:t>
      </w:r>
      <w:r w:rsidRPr="0FF586BA">
        <w:rPr>
          <w:noProof/>
          <w:lang w:val="en-IE" w:eastAsia="fr-FR"/>
        </w:rPr>
        <w:t xml:space="preserve"> alerts concerning Italy: </w:t>
      </w:r>
      <w:r>
        <w:rPr>
          <w:noProof/>
          <w:lang w:val="en-IE" w:eastAsia="fr-FR"/>
        </w:rPr>
        <w:t>13</w:t>
      </w:r>
      <w:r w:rsidRPr="0FF586BA">
        <w:rPr>
          <w:noProof/>
          <w:lang w:val="en-IE" w:eastAsia="fr-FR"/>
        </w:rPr>
        <w:t xml:space="preserve"> cases of physical attacks against journalists, </w:t>
      </w:r>
      <w:r>
        <w:rPr>
          <w:noProof/>
          <w:lang w:val="en-IE" w:eastAsia="fr-FR"/>
        </w:rPr>
        <w:t>5</w:t>
      </w:r>
      <w:r w:rsidRPr="0FF586BA">
        <w:rPr>
          <w:noProof/>
          <w:lang w:val="en-IE" w:eastAsia="fr-FR"/>
        </w:rPr>
        <w:t xml:space="preserve"> cases of harassment and intimidation of journalists, and </w:t>
      </w:r>
      <w:r>
        <w:rPr>
          <w:noProof/>
          <w:lang w:val="en-IE" w:eastAsia="fr-FR"/>
        </w:rPr>
        <w:t>2</w:t>
      </w:r>
      <w:r w:rsidRPr="0FF586BA">
        <w:rPr>
          <w:noProof/>
          <w:lang w:val="en-IE" w:eastAsia="fr-FR"/>
        </w:rPr>
        <w:t xml:space="preserve"> cases of other acts having chilling effect on media freedom</w:t>
      </w:r>
      <w:r w:rsidRPr="0FF586BA">
        <w:rPr>
          <w:noProof/>
          <w:vertAlign w:val="superscript"/>
          <w:lang w:val="en-IE" w:eastAsia="fr-FR"/>
        </w:rPr>
        <w:footnoteReference w:id="137"/>
      </w:r>
      <w:r w:rsidRPr="0FF586BA">
        <w:rPr>
          <w:noProof/>
          <w:lang w:val="en-IE" w:eastAsia="fr-FR"/>
        </w:rPr>
        <w:t xml:space="preserve">. The Mapping Media Freedom platform reported </w:t>
      </w:r>
      <w:r w:rsidR="00D82AE3">
        <w:rPr>
          <w:noProof/>
          <w:lang w:val="en-IE" w:eastAsia="fr-FR"/>
        </w:rPr>
        <w:t>104</w:t>
      </w:r>
      <w:r w:rsidRPr="0FF586BA">
        <w:rPr>
          <w:noProof/>
          <w:lang w:val="en-IE" w:eastAsia="fr-FR"/>
        </w:rPr>
        <w:t xml:space="preserve"> incidents, of which </w:t>
      </w:r>
      <w:r w:rsidR="00075523">
        <w:rPr>
          <w:noProof/>
          <w:lang w:val="en-IE" w:eastAsia="fr-FR"/>
        </w:rPr>
        <w:t>92</w:t>
      </w:r>
      <w:r w:rsidR="00075523" w:rsidRPr="0FF586BA">
        <w:rPr>
          <w:noProof/>
          <w:lang w:val="en-IE" w:eastAsia="fr-FR"/>
        </w:rPr>
        <w:t xml:space="preserve"> </w:t>
      </w:r>
      <w:r w:rsidRPr="0FF586BA">
        <w:rPr>
          <w:noProof/>
          <w:lang w:val="en-IE" w:eastAsia="fr-FR"/>
        </w:rPr>
        <w:t xml:space="preserve">related to different forms of attacks on journalists and </w:t>
      </w:r>
      <w:r>
        <w:rPr>
          <w:noProof/>
          <w:lang w:val="en-IE" w:eastAsia="fr-FR"/>
        </w:rPr>
        <w:t>1</w:t>
      </w:r>
      <w:r w:rsidR="00075523">
        <w:rPr>
          <w:noProof/>
          <w:lang w:val="en-IE" w:eastAsia="fr-FR"/>
        </w:rPr>
        <w:t>4</w:t>
      </w:r>
      <w:r w:rsidRPr="0FF586BA">
        <w:rPr>
          <w:noProof/>
          <w:lang w:val="en-IE" w:eastAsia="fr-FR"/>
        </w:rPr>
        <w:t xml:space="preserve"> related to legal incidents involving journalists</w:t>
      </w:r>
      <w:r w:rsidRPr="0FF586BA">
        <w:rPr>
          <w:noProof/>
          <w:vertAlign w:val="superscript"/>
          <w:lang w:val="en-IE" w:eastAsia="fr-FR"/>
        </w:rPr>
        <w:footnoteReference w:id="138"/>
      </w:r>
      <w:r w:rsidRPr="0FF586BA">
        <w:rPr>
          <w:noProof/>
          <w:lang w:val="en-IE" w:eastAsia="fr-FR"/>
        </w:rPr>
        <w:t>. The latest available data of the Coordination Centre also shows a 76% increase in cases of intimidations against journalists in the first six months of 2025 compared to the same period in 2024</w:t>
      </w:r>
      <w:r w:rsidRPr="0FF586BA">
        <w:rPr>
          <w:noProof/>
          <w:vertAlign w:val="superscript"/>
          <w:lang w:val="en-IE" w:eastAsia="fr-FR"/>
        </w:rPr>
        <w:footnoteReference w:id="139"/>
      </w:r>
      <w:r w:rsidRPr="0FF586BA">
        <w:rPr>
          <w:noProof/>
          <w:lang w:val="en-IE" w:eastAsia="fr-FR"/>
        </w:rPr>
        <w:t>. In February 2026, the Government tabled in Parliament draft amendments introducing specific aggravating factors for crimes committed against professional journalists</w:t>
      </w:r>
      <w:r w:rsidRPr="0FF586BA">
        <w:rPr>
          <w:noProof/>
          <w:vertAlign w:val="superscript"/>
          <w:lang w:val="en-IE" w:eastAsia="fr-FR"/>
        </w:rPr>
        <w:footnoteReference w:id="140"/>
      </w:r>
      <w:r w:rsidRPr="0FF586BA">
        <w:rPr>
          <w:noProof/>
          <w:lang w:val="en-IE" w:eastAsia="fr-FR"/>
        </w:rPr>
        <w:t>. Stakeholders welcomed the initiative as a step forward in strengthening the safety of journalists, while stressing the importance for Parliament to consider extending the scope of protection to all media workers</w:t>
      </w:r>
      <w:r w:rsidRPr="0FF586BA">
        <w:rPr>
          <w:rStyle w:val="FootnoteReference"/>
          <w:noProof/>
          <w:lang w:val="en-IE" w:eastAsia="fr-FR"/>
        </w:rPr>
        <w:footnoteReference w:id="141"/>
      </w:r>
      <w:r w:rsidRPr="0FF586BA">
        <w:rPr>
          <w:noProof/>
          <w:lang w:val="en-IE" w:eastAsia="fr-FR"/>
        </w:rPr>
        <w:t>.</w:t>
      </w:r>
    </w:p>
    <w:p w14:paraId="516862B7" w14:textId="77777777" w:rsidR="00490F94" w:rsidRPr="001B032F" w:rsidRDefault="00490F94" w:rsidP="00490F94">
      <w:pPr>
        <w:rPr>
          <w:noProof/>
          <w:lang w:eastAsia="fr-FR"/>
        </w:rPr>
      </w:pPr>
      <w:r w:rsidRPr="0002081B">
        <w:rPr>
          <w:b/>
          <w:noProof/>
          <w:lang w:eastAsia="fr-FR"/>
        </w:rPr>
        <w:t>There has been no further progress on the recommendation related to the defamation rules</w:t>
      </w:r>
      <w:r w:rsidRPr="0002081B">
        <w:rPr>
          <w:b/>
          <w:noProof/>
          <w:vertAlign w:val="superscript"/>
          <w:lang w:eastAsia="fr-FR"/>
        </w:rPr>
        <w:footnoteReference w:id="142"/>
      </w:r>
      <w:r w:rsidRPr="0002081B">
        <w:rPr>
          <w:b/>
          <w:noProof/>
          <w:lang w:eastAsia="fr-FR"/>
        </w:rPr>
        <w:t xml:space="preserve">. </w:t>
      </w:r>
      <w:r w:rsidRPr="0002081B">
        <w:rPr>
          <w:bCs/>
          <w:noProof/>
          <w:lang w:eastAsia="fr-FR"/>
        </w:rPr>
        <w:t>The draft reform of the defamation regime is still pending in the Senate</w:t>
      </w:r>
      <w:r w:rsidRPr="0002081B">
        <w:rPr>
          <w:bCs/>
          <w:noProof/>
          <w:vertAlign w:val="superscript"/>
          <w:lang w:eastAsia="fr-FR"/>
        </w:rPr>
        <w:footnoteReference w:id="143"/>
      </w:r>
      <w:r w:rsidRPr="0002081B">
        <w:rPr>
          <w:bCs/>
          <w:noProof/>
          <w:lang w:eastAsia="fr-FR"/>
        </w:rPr>
        <w:t xml:space="preserve">. Media stakeholders reiterated that it is positive that the proposed reform </w:t>
      </w:r>
      <w:r>
        <w:rPr>
          <w:bCs/>
          <w:noProof/>
          <w:lang w:eastAsia="fr-FR"/>
        </w:rPr>
        <w:t>abolishes</w:t>
      </w:r>
      <w:r w:rsidRPr="0002081B">
        <w:rPr>
          <w:bCs/>
          <w:noProof/>
          <w:lang w:eastAsia="fr-FR"/>
        </w:rPr>
        <w:t xml:space="preserve"> imprisonment</w:t>
      </w:r>
      <w:r>
        <w:rPr>
          <w:bCs/>
          <w:noProof/>
          <w:lang w:eastAsia="fr-FR"/>
        </w:rPr>
        <w:t xml:space="preserve"> penalties</w:t>
      </w:r>
      <w:r w:rsidRPr="0002081B">
        <w:rPr>
          <w:bCs/>
          <w:noProof/>
          <w:lang w:eastAsia="fr-FR"/>
        </w:rPr>
        <w:t xml:space="preserve"> for press defamation, although this falls short of a full decriminalisation. Stakeholders also reiterated that some of the new and more stringent measures, such as high criminal fines</w:t>
      </w:r>
      <w:r>
        <w:rPr>
          <w:bCs/>
          <w:noProof/>
          <w:lang w:eastAsia="fr-FR"/>
        </w:rPr>
        <w:t>,</w:t>
      </w:r>
      <w:r w:rsidRPr="0002081B">
        <w:rPr>
          <w:bCs/>
          <w:noProof/>
          <w:lang w:eastAsia="fr-FR"/>
        </w:rPr>
        <w:t xml:space="preserve"> raise potential issues of chilling effect on press freedom</w:t>
      </w:r>
      <w:r w:rsidRPr="0002081B">
        <w:rPr>
          <w:bCs/>
          <w:noProof/>
          <w:vertAlign w:val="superscript"/>
          <w:lang w:eastAsia="fr-FR"/>
        </w:rPr>
        <w:footnoteReference w:id="144"/>
      </w:r>
      <w:r w:rsidRPr="0002081B">
        <w:rPr>
          <w:bCs/>
          <w:noProof/>
          <w:lang w:eastAsia="fr-FR"/>
        </w:rPr>
        <w:t>. Against this background, there has been no further progress on the related recommendation.</w:t>
      </w:r>
    </w:p>
    <w:p w14:paraId="2C9FE1AB" w14:textId="77777777" w:rsidR="00490F94" w:rsidRPr="00DB189C" w:rsidRDefault="00490F94" w:rsidP="00DB189C">
      <w:pPr>
        <w:pStyle w:val="Heading1"/>
        <w:numPr>
          <w:ilvl w:val="0"/>
          <w:numId w:val="37"/>
        </w:numPr>
        <w:spacing w:before="0"/>
        <w:rPr>
          <w:noProof/>
          <w:u w:val="single"/>
        </w:rPr>
      </w:pPr>
      <w:r w:rsidRPr="00DB189C">
        <w:rPr>
          <w:noProof/>
          <w:u w:val="single"/>
        </w:rPr>
        <w:t>Other Institutional Issues related to Checks and Balances</w:t>
      </w:r>
    </w:p>
    <w:p w14:paraId="0CA13923" w14:textId="32700DD8" w:rsidR="00490F94" w:rsidRPr="00703B6E" w:rsidRDefault="00490F94" w:rsidP="00705438">
      <w:pPr>
        <w:rPr>
          <w:noProof/>
        </w:rPr>
      </w:pPr>
      <w:r w:rsidRPr="0002081B">
        <w:rPr>
          <w:b/>
          <w:bCs/>
          <w:noProof/>
          <w:lang w:eastAsia="fr-FR"/>
        </w:rPr>
        <w:t>The draft constitutional reform to introduce the direct election of the Prime Minister remains on the agenda of Parliament.</w:t>
      </w:r>
      <w:r w:rsidRPr="0002081B">
        <w:rPr>
          <w:noProof/>
          <w:lang w:eastAsia="fr-FR"/>
        </w:rPr>
        <w:t xml:space="preserve"> After</w:t>
      </w:r>
      <w:r w:rsidRPr="00703B6E">
        <w:rPr>
          <w:noProof/>
          <w:lang w:eastAsia="fr-FR"/>
        </w:rPr>
        <w:t xml:space="preserve"> approval </w:t>
      </w:r>
      <w:r w:rsidRPr="0002081B">
        <w:rPr>
          <w:noProof/>
          <w:lang w:eastAsia="fr-FR"/>
        </w:rPr>
        <w:t>by</w:t>
      </w:r>
      <w:r w:rsidRPr="00703B6E">
        <w:rPr>
          <w:noProof/>
          <w:lang w:eastAsia="fr-FR"/>
        </w:rPr>
        <w:t xml:space="preserve"> the Senate in June 2024</w:t>
      </w:r>
      <w:r w:rsidRPr="0002081B">
        <w:rPr>
          <w:noProof/>
          <w:lang w:eastAsia="fr-FR"/>
        </w:rPr>
        <w:t>, the</w:t>
      </w:r>
      <w:r w:rsidRPr="00703B6E">
        <w:rPr>
          <w:noProof/>
          <w:lang w:eastAsia="fr-FR"/>
        </w:rPr>
        <w:t xml:space="preserve"> draft reform </w:t>
      </w:r>
      <w:r w:rsidRPr="0002081B">
        <w:rPr>
          <w:noProof/>
          <w:lang w:eastAsia="fr-FR"/>
        </w:rPr>
        <w:t>remains under discussion in the Chamber of Deputies</w:t>
      </w:r>
      <w:r w:rsidRPr="00703B6E">
        <w:rPr>
          <w:noProof/>
          <w:vertAlign w:val="superscript"/>
          <w:lang w:eastAsia="fr-FR"/>
        </w:rPr>
        <w:footnoteReference w:id="145"/>
      </w:r>
      <w:r w:rsidRPr="00703B6E">
        <w:rPr>
          <w:noProof/>
          <w:lang w:eastAsia="fr-FR"/>
        </w:rPr>
        <w:t xml:space="preserve"> </w:t>
      </w:r>
      <w:r>
        <w:rPr>
          <w:noProof/>
          <w:lang w:eastAsia="fr-FR"/>
        </w:rPr>
        <w:t xml:space="preserve">and </w:t>
      </w:r>
      <w:r w:rsidRPr="0002081B">
        <w:rPr>
          <w:noProof/>
          <w:lang w:eastAsia="fr-FR"/>
        </w:rPr>
        <w:t>expert hearings in Parliament have not advanced since July 2025. The Government confirmed the reform remains a priority</w:t>
      </w:r>
      <w:r w:rsidRPr="00703B6E">
        <w:rPr>
          <w:noProof/>
          <w:vertAlign w:val="superscript"/>
          <w:lang w:eastAsia="fr-FR"/>
        </w:rPr>
        <w:footnoteReference w:id="146"/>
      </w:r>
      <w:r w:rsidRPr="0002081B">
        <w:rPr>
          <w:noProof/>
          <w:lang w:eastAsia="fr-FR"/>
        </w:rPr>
        <w:t xml:space="preserve">. </w:t>
      </w:r>
      <w:r w:rsidR="00D067EE">
        <w:rPr>
          <w:noProof/>
          <w:lang w:eastAsia="fr-FR"/>
        </w:rPr>
        <w:t>A few</w:t>
      </w:r>
      <w:r w:rsidR="00D067EE" w:rsidRPr="00DA3ED5">
        <w:rPr>
          <w:noProof/>
          <w:lang w:eastAsia="fr-FR"/>
        </w:rPr>
        <w:t xml:space="preserve"> </w:t>
      </w:r>
      <w:r w:rsidR="008E1E1C" w:rsidRPr="00DA3ED5">
        <w:rPr>
          <w:noProof/>
          <w:lang w:eastAsia="fr-FR"/>
        </w:rPr>
        <w:t>s</w:t>
      </w:r>
      <w:r w:rsidRPr="00DA3ED5">
        <w:rPr>
          <w:noProof/>
          <w:lang w:eastAsia="fr-FR"/>
        </w:rPr>
        <w:t>takeholders reiterated</w:t>
      </w:r>
      <w:r w:rsidRPr="00703B6E">
        <w:rPr>
          <w:noProof/>
          <w:lang w:eastAsia="fr-FR"/>
        </w:rPr>
        <w:t xml:space="preserve"> concerns that the reform may impact checks and balances by altering the dynamics between </w:t>
      </w:r>
      <w:r>
        <w:rPr>
          <w:noProof/>
          <w:lang w:eastAsia="fr-FR"/>
        </w:rPr>
        <w:t xml:space="preserve">the </w:t>
      </w:r>
      <w:r w:rsidRPr="0002081B">
        <w:rPr>
          <w:noProof/>
          <w:lang w:eastAsia="fr-FR"/>
        </w:rPr>
        <w:t>Government and Parliament</w:t>
      </w:r>
      <w:r w:rsidRPr="00703B6E">
        <w:rPr>
          <w:noProof/>
          <w:lang w:eastAsia="fr-FR"/>
        </w:rPr>
        <w:t xml:space="preserve">, and between </w:t>
      </w:r>
      <w:r w:rsidRPr="0002081B">
        <w:rPr>
          <w:noProof/>
          <w:lang w:eastAsia="fr-FR"/>
        </w:rPr>
        <w:t>the Prime Minister and the President of the Republic</w:t>
      </w:r>
      <w:r w:rsidRPr="00703B6E">
        <w:rPr>
          <w:noProof/>
          <w:vertAlign w:val="superscript"/>
          <w:lang w:eastAsia="fr-FR"/>
        </w:rPr>
        <w:footnoteReference w:id="147"/>
      </w:r>
      <w:r w:rsidRPr="00703B6E">
        <w:rPr>
          <w:noProof/>
          <w:lang w:eastAsia="fr-FR"/>
        </w:rPr>
        <w:t>.</w:t>
      </w:r>
      <w:r>
        <w:rPr>
          <w:noProof/>
          <w:lang w:eastAsia="fr-FR"/>
        </w:rPr>
        <w:t xml:space="preserve"> </w:t>
      </w:r>
    </w:p>
    <w:p w14:paraId="2019A94A" w14:textId="77777777" w:rsidR="00490F94" w:rsidRPr="00703B6E" w:rsidRDefault="00490F94" w:rsidP="00490F94">
      <w:pPr>
        <w:rPr>
          <w:noProof/>
          <w:lang w:eastAsia="fr-FR"/>
        </w:rPr>
      </w:pPr>
      <w:r w:rsidRPr="0FF586BA">
        <w:rPr>
          <w:b/>
          <w:noProof/>
          <w:lang w:eastAsia="fr-FR"/>
        </w:rPr>
        <w:t>Stakeholders continued to express concerns about the excessive use of emergency decrees and of motions of confidence</w:t>
      </w:r>
      <w:r>
        <w:rPr>
          <w:b/>
          <w:noProof/>
          <w:lang w:eastAsia="fr-FR"/>
        </w:rPr>
        <w:t>,</w:t>
      </w:r>
      <w:r w:rsidRPr="00735F94">
        <w:rPr>
          <w:noProof/>
        </w:rPr>
        <w:t xml:space="preserve"> </w:t>
      </w:r>
      <w:r w:rsidRPr="00735F94">
        <w:rPr>
          <w:b/>
          <w:noProof/>
          <w:lang w:eastAsia="fr-FR"/>
        </w:rPr>
        <w:t>while the Chamber of Deputies took steps to limit their use in the future</w:t>
      </w:r>
      <w:r w:rsidRPr="0FF586BA">
        <w:rPr>
          <w:noProof/>
          <w:lang w:eastAsia="fr-FR"/>
        </w:rPr>
        <w:t xml:space="preserve">. In the current legislature (22 October 2022 to </w:t>
      </w:r>
      <w:r w:rsidRPr="009572BA">
        <w:rPr>
          <w:noProof/>
          <w:lang w:eastAsia="fr-FR"/>
        </w:rPr>
        <w:t>May 2026</w:t>
      </w:r>
      <w:r w:rsidRPr="0FF586BA">
        <w:rPr>
          <w:noProof/>
          <w:lang w:eastAsia="fr-FR"/>
        </w:rPr>
        <w:t xml:space="preserve">), Parliament adopted </w:t>
      </w:r>
      <w:r>
        <w:rPr>
          <w:noProof/>
          <w:lang w:eastAsia="fr-FR"/>
        </w:rPr>
        <w:t>325</w:t>
      </w:r>
      <w:r w:rsidRPr="0FF586BA">
        <w:rPr>
          <w:noProof/>
          <w:lang w:eastAsia="fr-FR"/>
        </w:rPr>
        <w:t xml:space="preserve"> laws. Of these, </w:t>
      </w:r>
      <w:r>
        <w:rPr>
          <w:noProof/>
          <w:lang w:eastAsia="fr-FR"/>
        </w:rPr>
        <w:t>a third (112</w:t>
      </w:r>
      <w:r w:rsidRPr="0FF586BA">
        <w:rPr>
          <w:noProof/>
          <w:lang w:eastAsia="fr-FR"/>
        </w:rPr>
        <w:t xml:space="preserve"> laws) converted government emergency decrees into ordinary laws</w:t>
      </w:r>
      <w:r>
        <w:rPr>
          <w:noProof/>
          <w:lang w:eastAsia="fr-FR"/>
        </w:rPr>
        <w:t xml:space="preserve">. A fifth </w:t>
      </w:r>
      <w:r w:rsidRPr="00F21880">
        <w:rPr>
          <w:noProof/>
          <w:lang w:eastAsia="fr-FR"/>
        </w:rPr>
        <w:t>(6</w:t>
      </w:r>
      <w:r>
        <w:rPr>
          <w:noProof/>
          <w:lang w:eastAsia="fr-FR"/>
        </w:rPr>
        <w:t>7</w:t>
      </w:r>
      <w:r w:rsidRPr="00F21880">
        <w:rPr>
          <w:noProof/>
          <w:lang w:eastAsia="fr-FR"/>
        </w:rPr>
        <w:t xml:space="preserve"> laws)</w:t>
      </w:r>
      <w:r w:rsidRPr="0FF586BA">
        <w:rPr>
          <w:noProof/>
          <w:lang w:eastAsia="fr-FR"/>
        </w:rPr>
        <w:t xml:space="preserve"> were approved through a motion of confidence in at least one of the branches of Parliament</w:t>
      </w:r>
      <w:r>
        <w:rPr>
          <w:noProof/>
          <w:lang w:eastAsia="fr-FR"/>
        </w:rPr>
        <w:t>. Three quarters (244 laws) were of government initiative</w:t>
      </w:r>
      <w:r w:rsidRPr="0FF586BA">
        <w:rPr>
          <w:noProof/>
          <w:vertAlign w:val="superscript"/>
          <w:lang w:eastAsia="fr-FR"/>
        </w:rPr>
        <w:footnoteReference w:id="148"/>
      </w:r>
      <w:r w:rsidRPr="0FF586BA">
        <w:rPr>
          <w:noProof/>
          <w:lang w:eastAsia="fr-FR"/>
        </w:rPr>
        <w:t>. Stakeholders</w:t>
      </w:r>
      <w:r>
        <w:rPr>
          <w:noProof/>
          <w:lang w:eastAsia="fr-FR"/>
        </w:rPr>
        <w:t xml:space="preserve"> continued to express concerns</w:t>
      </w:r>
      <w:r w:rsidRPr="0FF586BA">
        <w:rPr>
          <w:noProof/>
          <w:vertAlign w:val="superscript"/>
          <w:lang w:eastAsia="fr-FR"/>
        </w:rPr>
        <w:footnoteReference w:id="149"/>
      </w:r>
      <w:r>
        <w:rPr>
          <w:noProof/>
          <w:lang w:eastAsia="fr-FR"/>
        </w:rPr>
        <w:t>,</w:t>
      </w:r>
      <w:r w:rsidRPr="009F60F3">
        <w:rPr>
          <w:b/>
          <w:noProof/>
          <w:lang w:eastAsia="fr-FR"/>
        </w:rPr>
        <w:t xml:space="preserve"> </w:t>
      </w:r>
      <w:r>
        <w:rPr>
          <w:noProof/>
          <w:lang w:eastAsia="fr-FR"/>
        </w:rPr>
        <w:t>as they</w:t>
      </w:r>
      <w:r w:rsidRPr="0FF586BA">
        <w:rPr>
          <w:noProof/>
          <w:lang w:eastAsia="fr-FR"/>
        </w:rPr>
        <w:t xml:space="preserve"> consider that the combined use of law decrees and motions of confidence might affect the separation of powers between the Government and Parliament and </w:t>
      </w:r>
      <w:r w:rsidRPr="0FF586BA">
        <w:rPr>
          <w:noProof/>
          <w:color w:val="000000" w:themeColor="text1"/>
          <w:lang w:eastAsia="fr-FR"/>
        </w:rPr>
        <w:t>jeopardise the legislative function of Parliament</w:t>
      </w:r>
      <w:r w:rsidRPr="0FF586BA">
        <w:rPr>
          <w:noProof/>
          <w:vertAlign w:val="superscript"/>
          <w:lang w:eastAsia="fr-FR"/>
        </w:rPr>
        <w:footnoteReference w:id="150"/>
      </w:r>
      <w:r>
        <w:rPr>
          <w:noProof/>
          <w:color w:val="000000" w:themeColor="text1"/>
          <w:lang w:eastAsia="fr-FR"/>
        </w:rPr>
        <w:t xml:space="preserve">, </w:t>
      </w:r>
      <w:r w:rsidRPr="001C3BF5">
        <w:rPr>
          <w:bCs/>
          <w:noProof/>
          <w:lang w:eastAsia="fr-FR"/>
        </w:rPr>
        <w:t>particularly in the area of criminal law</w:t>
      </w:r>
      <w:r w:rsidRPr="009F60F3">
        <w:rPr>
          <w:bCs/>
          <w:noProof/>
          <w:vertAlign w:val="superscript"/>
          <w:lang w:eastAsia="fr-FR"/>
        </w:rPr>
        <w:footnoteReference w:id="151"/>
      </w:r>
      <w:r w:rsidRPr="0FF586BA">
        <w:rPr>
          <w:noProof/>
          <w:lang w:eastAsia="fr-FR"/>
        </w:rPr>
        <w:t xml:space="preserve">. </w:t>
      </w:r>
      <w:r>
        <w:rPr>
          <w:noProof/>
          <w:lang w:eastAsia="fr-FR"/>
        </w:rPr>
        <w:t xml:space="preserve">On several occasions, </w:t>
      </w:r>
      <w:r w:rsidRPr="0FF586BA">
        <w:rPr>
          <w:noProof/>
          <w:lang w:eastAsia="fr-FR"/>
        </w:rPr>
        <w:t xml:space="preserve">the President of the Republic </w:t>
      </w:r>
      <w:r>
        <w:rPr>
          <w:noProof/>
          <w:lang w:eastAsia="fr-FR"/>
        </w:rPr>
        <w:t>called on</w:t>
      </w:r>
      <w:r w:rsidRPr="0FF586BA">
        <w:rPr>
          <w:noProof/>
          <w:lang w:eastAsia="fr-FR"/>
        </w:rPr>
        <w:t xml:space="preserve"> the Government to strictly limit the use of legislation by decree to cases of genuine urgency and necessity. In February 2026, with large support, the Chamber of Deputies amended its </w:t>
      </w:r>
      <w:r>
        <w:rPr>
          <w:noProof/>
          <w:lang w:eastAsia="fr-FR"/>
        </w:rPr>
        <w:t xml:space="preserve">rules of </w:t>
      </w:r>
      <w:r w:rsidRPr="0FF586BA">
        <w:rPr>
          <w:noProof/>
          <w:lang w:eastAsia="fr-FR"/>
        </w:rPr>
        <w:t xml:space="preserve">procedure with the aim to streamline law-making and, among others, limit the recourse to emergency decrees and motions of confidence. The reform will </w:t>
      </w:r>
      <w:r>
        <w:rPr>
          <w:noProof/>
          <w:lang w:eastAsia="fr-FR"/>
        </w:rPr>
        <w:t>start</w:t>
      </w:r>
      <w:r w:rsidRPr="0FF586BA">
        <w:rPr>
          <w:noProof/>
          <w:lang w:eastAsia="fr-FR"/>
        </w:rPr>
        <w:t xml:space="preserve"> appl</w:t>
      </w:r>
      <w:r>
        <w:rPr>
          <w:noProof/>
          <w:lang w:eastAsia="fr-FR"/>
        </w:rPr>
        <w:t>ying</w:t>
      </w:r>
      <w:r w:rsidRPr="0FF586BA">
        <w:rPr>
          <w:noProof/>
          <w:lang w:eastAsia="fr-FR"/>
        </w:rPr>
        <w:t xml:space="preserve"> after the next </w:t>
      </w:r>
      <w:r>
        <w:rPr>
          <w:noProof/>
          <w:lang w:eastAsia="fr-FR"/>
        </w:rPr>
        <w:t xml:space="preserve">legislative </w:t>
      </w:r>
      <w:r w:rsidRPr="0FF586BA">
        <w:rPr>
          <w:noProof/>
          <w:lang w:eastAsia="fr-FR"/>
        </w:rPr>
        <w:t>election</w:t>
      </w:r>
      <w:r>
        <w:rPr>
          <w:noProof/>
          <w:lang w:eastAsia="fr-FR"/>
        </w:rPr>
        <w:t>s</w:t>
      </w:r>
      <w:r w:rsidRPr="0FF586BA">
        <w:rPr>
          <w:noProof/>
          <w:vertAlign w:val="superscript"/>
          <w:lang w:eastAsia="fr-FR"/>
        </w:rPr>
        <w:footnoteReference w:id="152"/>
      </w:r>
      <w:r w:rsidRPr="0FF586BA">
        <w:rPr>
          <w:noProof/>
          <w:lang w:eastAsia="fr-FR"/>
        </w:rPr>
        <w:t xml:space="preserve">. </w:t>
      </w:r>
    </w:p>
    <w:p w14:paraId="138050DB" w14:textId="77777777" w:rsidR="00490F94" w:rsidRDefault="00490F94" w:rsidP="00490F94">
      <w:pPr>
        <w:rPr>
          <w:noProof/>
          <w:lang w:eastAsia="fr-FR"/>
        </w:rPr>
      </w:pPr>
      <w:r w:rsidRPr="0FF586BA">
        <w:rPr>
          <w:b/>
          <w:noProof/>
          <w:lang w:eastAsia="fr-FR"/>
        </w:rPr>
        <w:t xml:space="preserve">A law adopted in November 2025 </w:t>
      </w:r>
      <w:bookmarkStart w:id="21" w:name="_Hlk221050482"/>
      <w:r w:rsidRPr="0FF586BA">
        <w:rPr>
          <w:b/>
          <w:noProof/>
          <w:lang w:eastAsia="fr-FR"/>
        </w:rPr>
        <w:t>introduced rules on regulatory simplification, public consultation and impact assessment procedures</w:t>
      </w:r>
      <w:bookmarkEnd w:id="21"/>
      <w:r w:rsidRPr="0FF586BA">
        <w:rPr>
          <w:noProof/>
          <w:lang w:eastAsia="fr-FR"/>
        </w:rPr>
        <w:t xml:space="preserve">. </w:t>
      </w:r>
      <w:r>
        <w:rPr>
          <w:noProof/>
          <w:lang w:eastAsia="fr-FR"/>
        </w:rPr>
        <w:t xml:space="preserve">The </w:t>
      </w:r>
      <w:r w:rsidRPr="0FF586BA">
        <w:rPr>
          <w:noProof/>
          <w:lang w:eastAsia="fr-FR"/>
        </w:rPr>
        <w:t xml:space="preserve">law requires the Government to submit to Parliament by end of June each year a regulatory simplification law, gathering proposals from </w:t>
      </w:r>
      <w:r w:rsidRPr="0FF586BA">
        <w:rPr>
          <w:i/>
          <w:noProof/>
          <w:lang w:eastAsia="fr-FR"/>
        </w:rPr>
        <w:t>ex post</w:t>
      </w:r>
      <w:r w:rsidRPr="0FF586BA">
        <w:rPr>
          <w:noProof/>
          <w:lang w:eastAsia="fr-FR"/>
        </w:rPr>
        <w:t xml:space="preserve"> impact assessments and from public consultations, and consolidating existing legislation</w:t>
      </w:r>
      <w:r w:rsidRPr="0FF586BA">
        <w:rPr>
          <w:noProof/>
          <w:vertAlign w:val="superscript"/>
          <w:lang w:eastAsia="fr-FR"/>
        </w:rPr>
        <w:footnoteReference w:id="153"/>
      </w:r>
      <w:r w:rsidRPr="0FF586BA">
        <w:rPr>
          <w:noProof/>
          <w:lang w:eastAsia="fr-FR"/>
        </w:rPr>
        <w:t xml:space="preserve">. The law introduces within the framework of the regulatory impact assessment (i) a gender impact assessment and (ii) a generational impact assessment, as an </w:t>
      </w:r>
      <w:r w:rsidRPr="0FF586BA">
        <w:rPr>
          <w:i/>
          <w:noProof/>
          <w:lang w:eastAsia="fr-FR"/>
        </w:rPr>
        <w:t xml:space="preserve">ex ante </w:t>
      </w:r>
      <w:r w:rsidRPr="0FF586BA">
        <w:rPr>
          <w:noProof/>
          <w:lang w:eastAsia="fr-FR"/>
        </w:rPr>
        <w:t>analysis of the environmental and social effects of governmental acts (excluding emergency decrees) on young people and future generations, notably on intergenerational equity. Finally, the law delegates the government to consolidate and reorganise legislation in a wide range of areas</w:t>
      </w:r>
      <w:r w:rsidRPr="0FF586BA">
        <w:rPr>
          <w:noProof/>
          <w:vertAlign w:val="superscript"/>
          <w:lang w:eastAsia="fr-FR"/>
        </w:rPr>
        <w:footnoteReference w:id="154"/>
      </w:r>
      <w:r w:rsidRPr="0FF586BA">
        <w:rPr>
          <w:noProof/>
          <w:lang w:eastAsia="fr-FR"/>
        </w:rPr>
        <w:t>, as well as to revise the digital administration code. Business stakeholders welcomed the regulatory simplification aims</w:t>
      </w:r>
      <w:r w:rsidRPr="0FF586BA">
        <w:rPr>
          <w:noProof/>
          <w:vertAlign w:val="superscript"/>
          <w:lang w:eastAsia="fr-FR"/>
        </w:rPr>
        <w:footnoteReference w:id="155"/>
      </w:r>
      <w:r w:rsidRPr="0FF586BA">
        <w:rPr>
          <w:noProof/>
          <w:lang w:eastAsia="fr-FR"/>
        </w:rPr>
        <w:t xml:space="preserve">. </w:t>
      </w:r>
    </w:p>
    <w:p w14:paraId="3CAA9449" w14:textId="156BBFB5" w:rsidR="00490F94" w:rsidRDefault="00490F94" w:rsidP="00490F94">
      <w:pPr>
        <w:rPr>
          <w:b/>
          <w:bCs/>
          <w:noProof/>
          <w:lang w:val="en-IE"/>
        </w:rPr>
      </w:pPr>
      <w:r w:rsidRPr="0070440A">
        <w:rPr>
          <w:b/>
          <w:bCs/>
          <w:noProof/>
          <w:lang w:val="en-IE"/>
        </w:rPr>
        <w:t xml:space="preserve">On 1 January </w:t>
      </w:r>
      <w:r>
        <w:rPr>
          <w:b/>
          <w:bCs/>
          <w:noProof/>
          <w:lang w:val="en-IE"/>
        </w:rPr>
        <w:t>2026</w:t>
      </w:r>
      <w:r w:rsidRPr="0070440A">
        <w:rPr>
          <w:b/>
          <w:bCs/>
          <w:noProof/>
          <w:lang w:val="en-IE"/>
        </w:rPr>
        <w:t xml:space="preserve">, </w:t>
      </w:r>
      <w:r>
        <w:rPr>
          <w:b/>
          <w:bCs/>
          <w:noProof/>
          <w:lang w:val="en-IE"/>
        </w:rPr>
        <w:t>Italy</w:t>
      </w:r>
      <w:r w:rsidRPr="0070440A">
        <w:rPr>
          <w:b/>
          <w:bCs/>
          <w:noProof/>
          <w:lang w:val="en-IE"/>
        </w:rPr>
        <w:t xml:space="preserve"> had </w:t>
      </w:r>
      <w:r>
        <w:rPr>
          <w:b/>
          <w:bCs/>
          <w:noProof/>
          <w:lang w:val="en-IE"/>
        </w:rPr>
        <w:t>79</w:t>
      </w:r>
      <w:r w:rsidRPr="0070440A">
        <w:rPr>
          <w:b/>
          <w:bCs/>
          <w:noProof/>
          <w:lang w:val="en-IE"/>
        </w:rPr>
        <w:t xml:space="preserve"> leading judgments of the European Court of Human Rights pending implementation, an </w:t>
      </w:r>
      <w:r w:rsidRPr="00890A78">
        <w:rPr>
          <w:b/>
          <w:noProof/>
          <w:lang w:val="en-IE"/>
        </w:rPr>
        <w:t>increase</w:t>
      </w:r>
      <w:r w:rsidRPr="0070440A">
        <w:rPr>
          <w:b/>
          <w:bCs/>
          <w:noProof/>
          <w:lang w:val="en-IE"/>
        </w:rPr>
        <w:t xml:space="preserve"> of </w:t>
      </w:r>
      <w:r>
        <w:rPr>
          <w:b/>
          <w:bCs/>
          <w:noProof/>
          <w:lang w:val="en-IE"/>
        </w:rPr>
        <w:t>5</w:t>
      </w:r>
      <w:r w:rsidRPr="0070440A">
        <w:rPr>
          <w:b/>
          <w:bCs/>
          <w:noProof/>
          <w:lang w:val="en-IE"/>
        </w:rPr>
        <w:t xml:space="preserve"> compared to the previous year</w:t>
      </w:r>
      <w:r w:rsidRPr="0070440A">
        <w:rPr>
          <w:rStyle w:val="FootnoteReference"/>
          <w:b/>
          <w:bCs/>
          <w:noProof/>
        </w:rPr>
        <w:footnoteReference w:id="156"/>
      </w:r>
      <w:r w:rsidRPr="0070440A">
        <w:rPr>
          <w:b/>
          <w:bCs/>
          <w:noProof/>
          <w:lang w:val="en-IE"/>
        </w:rPr>
        <w:t xml:space="preserve">. </w:t>
      </w:r>
      <w:r w:rsidRPr="0070440A">
        <w:rPr>
          <w:noProof/>
          <w:lang w:val="en-IE"/>
        </w:rPr>
        <w:t xml:space="preserve">At that time, </w:t>
      </w:r>
      <w:r>
        <w:rPr>
          <w:noProof/>
          <w:lang w:val="en-IE"/>
        </w:rPr>
        <w:t>Italy’s</w:t>
      </w:r>
      <w:r w:rsidRPr="0070440A">
        <w:rPr>
          <w:noProof/>
          <w:lang w:val="en-IE"/>
        </w:rPr>
        <w:t xml:space="preserve"> rate of leading judgments from the past 10 years </w:t>
      </w:r>
      <w:r w:rsidRPr="001E7A19">
        <w:rPr>
          <w:noProof/>
          <w:lang w:val="en-IE"/>
        </w:rPr>
        <w:t>that had been implemented was at</w:t>
      </w:r>
      <w:r w:rsidRPr="001E7A19" w:rsidDel="00EE5471">
        <w:rPr>
          <w:noProof/>
          <w:lang w:val="en-IE"/>
        </w:rPr>
        <w:t xml:space="preserve"> </w:t>
      </w:r>
      <w:r w:rsidRPr="001E7A19">
        <w:rPr>
          <w:noProof/>
          <w:lang w:val="en-IE"/>
        </w:rPr>
        <w:t>2</w:t>
      </w:r>
      <w:r>
        <w:rPr>
          <w:noProof/>
          <w:lang w:val="en-IE"/>
        </w:rPr>
        <w:t>2</w:t>
      </w:r>
      <w:r w:rsidRPr="001E7A19">
        <w:rPr>
          <w:noProof/>
          <w:lang w:val="en-IE"/>
        </w:rPr>
        <w:t>%</w:t>
      </w:r>
      <w:r w:rsidRPr="0070440A">
        <w:rPr>
          <w:noProof/>
          <w:lang w:val="en-IE"/>
        </w:rPr>
        <w:t xml:space="preserve"> (compared to </w:t>
      </w:r>
      <w:r>
        <w:rPr>
          <w:noProof/>
          <w:lang w:val="en-IE"/>
        </w:rPr>
        <w:t>27</w:t>
      </w:r>
      <w:r w:rsidRPr="001E7A19">
        <w:rPr>
          <w:noProof/>
          <w:lang w:val="en-IE"/>
        </w:rPr>
        <w:t>%</w:t>
      </w:r>
      <w:r w:rsidRPr="0070440A">
        <w:rPr>
          <w:noProof/>
          <w:lang w:val="en-IE"/>
        </w:rPr>
        <w:t xml:space="preserve"> in 202</w:t>
      </w:r>
      <w:r>
        <w:rPr>
          <w:noProof/>
          <w:lang w:val="en-IE"/>
        </w:rPr>
        <w:t>5;</w:t>
      </w:r>
      <w:r w:rsidRPr="001E7A19">
        <w:rPr>
          <w:noProof/>
          <w:lang w:val="en-IE"/>
        </w:rPr>
        <w:t xml:space="preserve"> 7</w:t>
      </w:r>
      <w:r>
        <w:rPr>
          <w:noProof/>
          <w:lang w:val="en-IE"/>
        </w:rPr>
        <w:t>8</w:t>
      </w:r>
      <w:r w:rsidRPr="001E7A19">
        <w:rPr>
          <w:noProof/>
          <w:lang w:val="en-IE"/>
        </w:rPr>
        <w:t>% remained pending</w:t>
      </w:r>
      <w:r w:rsidRPr="0070440A">
        <w:rPr>
          <w:noProof/>
          <w:lang w:val="en-IE"/>
        </w:rPr>
        <w:t xml:space="preserve">), and the average time that the judgments had been pending implementation was </w:t>
      </w:r>
      <w:r>
        <w:rPr>
          <w:noProof/>
          <w:lang w:val="en-IE"/>
        </w:rPr>
        <w:t>5</w:t>
      </w:r>
      <w:r w:rsidRPr="0070440A">
        <w:rPr>
          <w:noProof/>
          <w:lang w:val="en-IE"/>
        </w:rPr>
        <w:t xml:space="preserve"> years and </w:t>
      </w:r>
      <w:r>
        <w:rPr>
          <w:noProof/>
          <w:lang w:val="en-IE"/>
        </w:rPr>
        <w:t>10</w:t>
      </w:r>
      <w:r w:rsidRPr="0070440A">
        <w:rPr>
          <w:noProof/>
          <w:lang w:val="en-IE"/>
        </w:rPr>
        <w:t xml:space="preserve"> months (compared to </w:t>
      </w:r>
      <w:r>
        <w:rPr>
          <w:noProof/>
          <w:lang w:val="en-IE"/>
        </w:rPr>
        <w:t>6</w:t>
      </w:r>
      <w:r w:rsidRPr="0070440A">
        <w:rPr>
          <w:noProof/>
          <w:lang w:val="en-IE"/>
        </w:rPr>
        <w:t xml:space="preserve"> years and </w:t>
      </w:r>
      <w:r>
        <w:rPr>
          <w:noProof/>
          <w:lang w:val="en-IE"/>
        </w:rPr>
        <w:t>4</w:t>
      </w:r>
      <w:r w:rsidRPr="0070440A">
        <w:rPr>
          <w:noProof/>
          <w:lang w:val="en-IE"/>
        </w:rPr>
        <w:t xml:space="preserve"> months in 202</w:t>
      </w:r>
      <w:r>
        <w:rPr>
          <w:noProof/>
          <w:lang w:val="en-IE"/>
        </w:rPr>
        <w:t>5</w:t>
      </w:r>
      <w:r w:rsidRPr="0070440A">
        <w:rPr>
          <w:noProof/>
          <w:lang w:val="en-IE"/>
        </w:rPr>
        <w:t>)</w:t>
      </w:r>
      <w:r w:rsidRPr="0070440A">
        <w:rPr>
          <w:rStyle w:val="FootnoteReference"/>
          <w:noProof/>
        </w:rPr>
        <w:footnoteReference w:id="157"/>
      </w:r>
      <w:r w:rsidRPr="0070440A">
        <w:rPr>
          <w:noProof/>
          <w:lang w:val="en-IE"/>
        </w:rPr>
        <w:t xml:space="preserve">. </w:t>
      </w:r>
      <w:r>
        <w:rPr>
          <w:noProof/>
        </w:rPr>
        <w:t>In 2025, Italy opened 10 new leading cases (of which 4 under enhanced supervision) and closed 5 leading cases (of which 4 under enhanced supervision, all pending for over five years)</w:t>
      </w:r>
      <w:r w:rsidRPr="00703B6E">
        <w:rPr>
          <w:noProof/>
          <w:vertAlign w:val="superscript"/>
        </w:rPr>
        <w:footnoteReference w:id="158"/>
      </w:r>
      <w:r>
        <w:rPr>
          <w:noProof/>
        </w:rPr>
        <w:t>.</w:t>
      </w:r>
      <w:r w:rsidRPr="00916739">
        <w:rPr>
          <w:noProof/>
        </w:rPr>
        <w:t xml:space="preserve"> </w:t>
      </w:r>
      <w:r>
        <w:rPr>
          <w:noProof/>
        </w:rPr>
        <w:t xml:space="preserve">One of the latter </w:t>
      </w:r>
      <w:r w:rsidRPr="00916739">
        <w:rPr>
          <w:noProof/>
        </w:rPr>
        <w:t>concern</w:t>
      </w:r>
      <w:r>
        <w:rPr>
          <w:noProof/>
        </w:rPr>
        <w:t>ed</w:t>
      </w:r>
      <w:r w:rsidRPr="00916739">
        <w:rPr>
          <w:noProof/>
        </w:rPr>
        <w:t xml:space="preserve"> the excessive length of criminal proceedings</w:t>
      </w:r>
      <w:r>
        <w:rPr>
          <w:noProof/>
        </w:rPr>
        <w:t xml:space="preserve"> and</w:t>
      </w:r>
      <w:r w:rsidRPr="00703B6E">
        <w:rPr>
          <w:noProof/>
        </w:rPr>
        <w:t xml:space="preserve"> </w:t>
      </w:r>
      <w:r w:rsidRPr="00916739">
        <w:rPr>
          <w:noProof/>
        </w:rPr>
        <w:t xml:space="preserve">had been </w:t>
      </w:r>
      <w:r w:rsidRPr="00703B6E">
        <w:rPr>
          <w:noProof/>
        </w:rPr>
        <w:t>pending implementation for 2</w:t>
      </w:r>
      <w:r w:rsidRPr="00916739">
        <w:rPr>
          <w:noProof/>
        </w:rPr>
        <w:t>5</w:t>
      </w:r>
      <w:r w:rsidRPr="00703B6E">
        <w:rPr>
          <w:noProof/>
        </w:rPr>
        <w:t xml:space="preserve"> years</w:t>
      </w:r>
      <w:r w:rsidRPr="00703B6E">
        <w:rPr>
          <w:noProof/>
          <w:vertAlign w:val="superscript"/>
        </w:rPr>
        <w:footnoteReference w:id="159"/>
      </w:r>
      <w:r w:rsidRPr="00703B6E">
        <w:rPr>
          <w:noProof/>
        </w:rPr>
        <w:t>.</w:t>
      </w:r>
      <w:r w:rsidRPr="00703B6E">
        <w:rPr>
          <w:b/>
          <w:noProof/>
        </w:rPr>
        <w:t xml:space="preserve"> </w:t>
      </w:r>
      <w:r w:rsidRPr="00440AC0">
        <w:rPr>
          <w:noProof/>
          <w:lang w:val="en-IE"/>
        </w:rPr>
        <w:t>The oldest leading judgment,</w:t>
      </w:r>
      <w:r w:rsidRPr="00440AC0">
        <w:rPr>
          <w:noProof/>
        </w:rPr>
        <w:t xml:space="preserve"> pending implementation for 25 years, concerns excessive length of proceedings before the civil courts</w:t>
      </w:r>
      <w:r w:rsidRPr="00440AC0">
        <w:rPr>
          <w:rStyle w:val="FootnoteReference"/>
          <w:noProof/>
        </w:rPr>
        <w:footnoteReference w:id="160"/>
      </w:r>
      <w:r w:rsidRPr="00440AC0">
        <w:rPr>
          <w:noProof/>
        </w:rPr>
        <w:t>.</w:t>
      </w:r>
      <w:r w:rsidRPr="002104F6">
        <w:rPr>
          <w:b/>
          <w:noProof/>
        </w:rPr>
        <w:t xml:space="preserve"> </w:t>
      </w:r>
      <w:r w:rsidRPr="00703B6E">
        <w:rPr>
          <w:noProof/>
        </w:rPr>
        <w:t xml:space="preserve">As regards the respect of payment deadlines, </w:t>
      </w:r>
      <w:r w:rsidR="00E73E68" w:rsidRPr="007A5D7D">
        <w:rPr>
          <w:noProof/>
          <w:lang w:val="en-IE"/>
        </w:rPr>
        <w:t xml:space="preserve">on 31 December </w:t>
      </w:r>
      <w:r w:rsidRPr="00703B6E">
        <w:rPr>
          <w:noProof/>
        </w:rPr>
        <w:t>202</w:t>
      </w:r>
      <w:r w:rsidRPr="00916739">
        <w:rPr>
          <w:noProof/>
        </w:rPr>
        <w:t>5</w:t>
      </w:r>
      <w:r w:rsidRPr="00703B6E">
        <w:rPr>
          <w:noProof/>
        </w:rPr>
        <w:t xml:space="preserve"> there were </w:t>
      </w:r>
      <w:r>
        <w:rPr>
          <w:noProof/>
        </w:rPr>
        <w:t>109</w:t>
      </w:r>
      <w:r w:rsidRPr="00916739">
        <w:rPr>
          <w:noProof/>
        </w:rPr>
        <w:t xml:space="preserve"> </w:t>
      </w:r>
      <w:r w:rsidRPr="00703B6E">
        <w:rPr>
          <w:noProof/>
        </w:rPr>
        <w:t xml:space="preserve">cases awaiting confirmation of payments (compared to </w:t>
      </w:r>
      <w:r w:rsidRPr="00916739">
        <w:rPr>
          <w:noProof/>
        </w:rPr>
        <w:t>122 in 2024</w:t>
      </w:r>
      <w:r w:rsidRPr="00703B6E">
        <w:rPr>
          <w:noProof/>
        </w:rPr>
        <w:t>)</w:t>
      </w:r>
      <w:r w:rsidRPr="00703B6E">
        <w:rPr>
          <w:noProof/>
          <w:vertAlign w:val="superscript"/>
        </w:rPr>
        <w:footnoteReference w:id="161"/>
      </w:r>
      <w:r w:rsidRPr="00703B6E">
        <w:rPr>
          <w:noProof/>
        </w:rPr>
        <w:t>.</w:t>
      </w:r>
      <w:r w:rsidRPr="00703B6E">
        <w:rPr>
          <w:b/>
          <w:bCs/>
          <w:noProof/>
        </w:rPr>
        <w:t xml:space="preserve"> </w:t>
      </w:r>
      <w:r w:rsidR="007D6976" w:rsidRPr="00AD700E">
        <w:rPr>
          <w:noProof/>
        </w:rPr>
        <w:t>By</w:t>
      </w:r>
      <w:r w:rsidRPr="0070440A">
        <w:rPr>
          <w:noProof/>
          <w:lang w:val="en-IE"/>
        </w:rPr>
        <w:t xml:space="preserve"> </w:t>
      </w:r>
      <w:r>
        <w:rPr>
          <w:noProof/>
          <w:lang w:val="en-IE"/>
        </w:rPr>
        <w:t>1</w:t>
      </w:r>
      <w:r w:rsidR="007D6976">
        <w:rPr>
          <w:noProof/>
          <w:lang w:val="en-IE"/>
        </w:rPr>
        <w:t>7</w:t>
      </w:r>
      <w:r>
        <w:rPr>
          <w:noProof/>
          <w:lang w:val="en-IE"/>
        </w:rPr>
        <w:t xml:space="preserve"> June</w:t>
      </w:r>
      <w:r w:rsidRPr="0070440A">
        <w:rPr>
          <w:noProof/>
          <w:lang w:val="en-IE"/>
        </w:rPr>
        <w:t xml:space="preserve"> </w:t>
      </w:r>
      <w:r>
        <w:rPr>
          <w:noProof/>
          <w:lang w:val="en-IE"/>
        </w:rPr>
        <w:t>2026</w:t>
      </w:r>
      <w:r w:rsidRPr="0070440A">
        <w:rPr>
          <w:noProof/>
          <w:lang w:val="en-IE"/>
        </w:rPr>
        <w:t xml:space="preserve">, the number of leading judgments pending implementation had </w:t>
      </w:r>
      <w:r w:rsidR="00AA1933">
        <w:rPr>
          <w:noProof/>
          <w:lang w:val="en-IE"/>
        </w:rPr>
        <w:t>in</w:t>
      </w:r>
      <w:r w:rsidR="007D6976">
        <w:rPr>
          <w:noProof/>
          <w:lang w:val="en-IE"/>
        </w:rPr>
        <w:t>creased to 84</w:t>
      </w:r>
      <w:r w:rsidRPr="00C158A1">
        <w:rPr>
          <w:rStyle w:val="FootnoteReference"/>
          <w:noProof/>
        </w:rPr>
        <w:footnoteReference w:id="162"/>
      </w:r>
      <w:r w:rsidRPr="00C158A1">
        <w:rPr>
          <w:noProof/>
          <w:lang w:val="en-IE"/>
        </w:rPr>
        <w:t>.</w:t>
      </w:r>
      <w:r w:rsidRPr="0070440A">
        <w:rPr>
          <w:b/>
          <w:bCs/>
          <w:noProof/>
          <w:lang w:val="en-IE"/>
        </w:rPr>
        <w:t xml:space="preserve"> </w:t>
      </w:r>
    </w:p>
    <w:p w14:paraId="77078D3B" w14:textId="77777777" w:rsidR="00490F94" w:rsidRDefault="00490F94" w:rsidP="00490F94">
      <w:pPr>
        <w:rPr>
          <w:b/>
          <w:bCs/>
          <w:noProof/>
        </w:rPr>
      </w:pPr>
      <w:r>
        <w:rPr>
          <w:b/>
          <w:bCs/>
          <w:noProof/>
          <w:lang w:eastAsia="fr-FR"/>
        </w:rPr>
        <w:t xml:space="preserve">More than half of companies surveyed in Italy express confidence in the effectiveness of investment protection. </w:t>
      </w:r>
      <w:r>
        <w:rPr>
          <w:rFonts w:eastAsia="Calibri"/>
          <w:noProof/>
        </w:rPr>
        <w:t>57</w:t>
      </w:r>
      <w:r w:rsidRPr="00C315BC">
        <w:rPr>
          <w:rFonts w:eastAsia="Calibri"/>
          <w:noProof/>
        </w:rPr>
        <w:t>% of companies are very or fairly confident that investments are protected by law and courts</w:t>
      </w:r>
      <w:r>
        <w:rPr>
          <w:rFonts w:eastAsia="Calibri"/>
          <w:noProof/>
        </w:rPr>
        <w:t>, a figure which has slightly decreased (58% in 2025)</w:t>
      </w:r>
      <w:r w:rsidRPr="00C315BC">
        <w:rPr>
          <w:rFonts w:eastAsia="Calibri"/>
          <w:noProof/>
          <w:vertAlign w:val="superscript"/>
        </w:rPr>
        <w:footnoteReference w:id="163"/>
      </w:r>
      <w:r w:rsidRPr="00C315BC">
        <w:rPr>
          <w:rFonts w:eastAsia="Calibri"/>
          <w:noProof/>
        </w:rPr>
        <w:t xml:space="preserve">. As regards authorities relevant for economic operators, </w:t>
      </w:r>
      <w:r>
        <w:rPr>
          <w:rFonts w:eastAsia="Calibri"/>
          <w:noProof/>
        </w:rPr>
        <w:t>72</w:t>
      </w:r>
      <w:r w:rsidRPr="00C315BC">
        <w:rPr>
          <w:rFonts w:eastAsia="Calibri"/>
          <w:noProof/>
        </w:rPr>
        <w:t xml:space="preserve">% perceive the level of independence of </w:t>
      </w:r>
      <w:r>
        <w:rPr>
          <w:noProof/>
          <w:lang w:val="en-IE" w:eastAsia="en-IE"/>
        </w:rPr>
        <w:t>Italy’s</w:t>
      </w:r>
      <w:r w:rsidRPr="00C315BC">
        <w:rPr>
          <w:noProof/>
          <w:lang w:val="en-IE" w:eastAsia="en-IE"/>
        </w:rPr>
        <w:t xml:space="preserve"> Competition and Market Authority</w:t>
      </w:r>
      <w:r w:rsidRPr="00C315BC">
        <w:rPr>
          <w:rFonts w:eastAsia="Calibri"/>
          <w:noProof/>
        </w:rPr>
        <w:t xml:space="preserve"> as very or fairly good</w:t>
      </w:r>
      <w:r>
        <w:rPr>
          <w:rFonts w:eastAsia="Calibri"/>
          <w:noProof/>
        </w:rPr>
        <w:t>, a figure which has slightly increased (70% in 2025)</w:t>
      </w:r>
      <w:r w:rsidRPr="00C315BC">
        <w:rPr>
          <w:rFonts w:eastAsia="Calibri"/>
          <w:noProof/>
          <w:vertAlign w:val="superscript"/>
        </w:rPr>
        <w:footnoteReference w:id="164"/>
      </w:r>
      <w:r w:rsidRPr="00C315BC">
        <w:rPr>
          <w:rFonts w:eastAsia="Calibri"/>
          <w:noProof/>
        </w:rPr>
        <w:t>.</w:t>
      </w:r>
      <w:r>
        <w:rPr>
          <w:rFonts w:eastAsia="Calibri"/>
          <w:noProof/>
        </w:rPr>
        <w:t xml:space="preserve"> </w:t>
      </w:r>
      <w:r w:rsidRPr="00F612E4">
        <w:rPr>
          <w:rFonts w:eastAsia="Calibri"/>
          <w:noProof/>
          <w14:ligatures w14:val="standardContextual"/>
        </w:rPr>
        <w:t xml:space="preserve">The </w:t>
      </w:r>
      <w:r w:rsidRPr="00D71250">
        <w:rPr>
          <w:rFonts w:eastAsia="Calibri"/>
          <w:noProof/>
          <w14:ligatures w14:val="standardContextual"/>
        </w:rPr>
        <w:t>supreme</w:t>
      </w:r>
      <w:r w:rsidRPr="007538ED">
        <w:rPr>
          <w:rFonts w:eastAsia="Calibri"/>
          <w:noProof/>
          <w14:ligatures w14:val="standardContextual"/>
        </w:rPr>
        <w:t xml:space="preserve"> administrative court</w:t>
      </w:r>
      <w:r>
        <w:rPr>
          <w:rFonts w:eastAsia="Calibri"/>
          <w:noProof/>
          <w14:ligatures w14:val="standardContextual"/>
        </w:rPr>
        <w:t xml:space="preserve"> (Italy’s </w:t>
      </w:r>
      <w:r w:rsidRPr="00F612E4">
        <w:rPr>
          <w:rFonts w:eastAsia="Calibri"/>
          <w:noProof/>
          <w14:ligatures w14:val="standardContextual"/>
        </w:rPr>
        <w:t>Council of State</w:t>
      </w:r>
      <w:r>
        <w:rPr>
          <w:rFonts w:eastAsia="Calibri"/>
          <w:noProof/>
          <w14:ligatures w14:val="standardContextual"/>
        </w:rPr>
        <w:t>)</w:t>
      </w:r>
      <w:r w:rsidRPr="00F612E4">
        <w:rPr>
          <w:rFonts w:eastAsia="Calibri"/>
          <w:noProof/>
          <w14:ligatures w14:val="standardContextual"/>
        </w:rPr>
        <w:t xml:space="preserve"> has jurisdiction in </w:t>
      </w:r>
      <w:r w:rsidRPr="00C063A3">
        <w:rPr>
          <w:rFonts w:eastAsia="Calibri"/>
          <w:noProof/>
          <w14:ligatures w14:val="standardContextual"/>
        </w:rPr>
        <w:t>several</w:t>
      </w:r>
      <w:r w:rsidRPr="00F612E4">
        <w:rPr>
          <w:rFonts w:eastAsia="Calibri"/>
          <w:noProof/>
          <w14:ligatures w14:val="standardContextual"/>
        </w:rPr>
        <w:t xml:space="preserve"> business-related cases, including in cases related to </w:t>
      </w:r>
      <w:r w:rsidRPr="00C063A3">
        <w:rPr>
          <w:rFonts w:eastAsia="Calibri"/>
          <w:noProof/>
          <w14:ligatures w14:val="standardContextual"/>
        </w:rPr>
        <w:t>public procurement, public concessions, public contracts and economic regulation</w:t>
      </w:r>
      <w:r w:rsidRPr="00F612E4">
        <w:rPr>
          <w:rFonts w:eastAsia="Calibri"/>
          <w:noProof/>
          <w14:ligatures w14:val="standardContextual"/>
        </w:rPr>
        <w:t xml:space="preserve">. A number of judicial mechanisms to improve efficiency are available in these cases, including </w:t>
      </w:r>
      <w:r w:rsidRPr="00C063A3">
        <w:rPr>
          <w:rFonts w:eastAsia="Calibri"/>
          <w:noProof/>
          <w14:ligatures w14:val="standardContextual"/>
        </w:rPr>
        <w:t>the possibility to apply interim measures, joint examination of similar cases and the consolidation of multiple appeals</w:t>
      </w:r>
      <w:r w:rsidRPr="00C063A3">
        <w:rPr>
          <w:rStyle w:val="FootnoteReference"/>
          <w:rFonts w:eastAsia="Calibri"/>
          <w:noProof/>
          <w14:ligatures w14:val="standardContextual"/>
        </w:rPr>
        <w:footnoteReference w:id="165"/>
      </w:r>
      <w:r w:rsidRPr="00F612E4">
        <w:rPr>
          <w:rFonts w:eastAsia="Calibri"/>
          <w:noProof/>
          <w14:ligatures w14:val="standardContextual"/>
        </w:rPr>
        <w:t>.</w:t>
      </w:r>
    </w:p>
    <w:p w14:paraId="77C21308" w14:textId="4387ED1F" w:rsidR="00490F94" w:rsidRPr="0002081B" w:rsidRDefault="00490F94" w:rsidP="00490F94">
      <w:pPr>
        <w:rPr>
          <w:noProof/>
          <w:lang w:eastAsia="fr-FR"/>
        </w:rPr>
      </w:pPr>
      <w:r w:rsidRPr="00703B6E">
        <w:rPr>
          <w:b/>
          <w:bCs/>
          <w:noProof/>
          <w:lang w:eastAsia="fr-FR"/>
        </w:rPr>
        <w:t xml:space="preserve">There has been </w:t>
      </w:r>
      <w:r w:rsidRPr="00D71250">
        <w:rPr>
          <w:b/>
          <w:bCs/>
          <w:noProof/>
          <w:lang w:eastAsia="fr-FR"/>
        </w:rPr>
        <w:t>limited</w:t>
      </w:r>
      <w:r w:rsidRPr="00703B6E">
        <w:rPr>
          <w:b/>
          <w:bCs/>
          <w:noProof/>
          <w:lang w:eastAsia="fr-FR"/>
        </w:rPr>
        <w:t xml:space="preserve"> progress </w:t>
      </w:r>
      <w:bookmarkStart w:id="22" w:name="_Hlk221050544"/>
      <w:r w:rsidRPr="00703B6E">
        <w:rPr>
          <w:b/>
          <w:bCs/>
          <w:noProof/>
          <w:lang w:eastAsia="fr-FR"/>
        </w:rPr>
        <w:t>on the recommendation to establish a National Human Rights Institution</w:t>
      </w:r>
      <w:bookmarkEnd w:id="22"/>
      <w:r w:rsidRPr="0002081B">
        <w:rPr>
          <w:b/>
          <w:bCs/>
          <w:noProof/>
          <w:lang w:eastAsia="fr-FR"/>
        </w:rPr>
        <w:t xml:space="preserve"> (NHRI)</w:t>
      </w:r>
      <w:r w:rsidRPr="00703B6E">
        <w:rPr>
          <w:b/>
          <w:bCs/>
          <w:noProof/>
          <w:vertAlign w:val="superscript"/>
          <w:lang w:eastAsia="fr-FR"/>
        </w:rPr>
        <w:footnoteReference w:id="166"/>
      </w:r>
      <w:r w:rsidRPr="00703B6E">
        <w:rPr>
          <w:noProof/>
          <w:lang w:eastAsia="fr-FR"/>
        </w:rPr>
        <w:t xml:space="preserve">. </w:t>
      </w:r>
      <w:r w:rsidRPr="0002081B">
        <w:rPr>
          <w:noProof/>
          <w:lang w:eastAsia="fr-FR"/>
        </w:rPr>
        <w:t>F</w:t>
      </w:r>
      <w:r w:rsidRPr="00703B6E">
        <w:rPr>
          <w:noProof/>
          <w:lang w:eastAsia="fr-FR"/>
        </w:rPr>
        <w:t>ive draft laws are still pending in Parliament</w:t>
      </w:r>
      <w:r w:rsidRPr="00703B6E">
        <w:rPr>
          <w:noProof/>
          <w:vertAlign w:val="superscript"/>
          <w:lang w:eastAsia="fr-FR"/>
        </w:rPr>
        <w:footnoteReference w:id="167"/>
      </w:r>
      <w:r w:rsidRPr="0002081B">
        <w:rPr>
          <w:noProof/>
          <w:lang w:eastAsia="fr-FR"/>
        </w:rPr>
        <w:t>.</w:t>
      </w:r>
      <w:r w:rsidRPr="00703B6E">
        <w:rPr>
          <w:noProof/>
          <w:lang w:eastAsia="fr-FR"/>
        </w:rPr>
        <w:t xml:space="preserve"> </w:t>
      </w:r>
      <w:r w:rsidRPr="0002081B">
        <w:rPr>
          <w:noProof/>
          <w:lang w:eastAsia="fr-FR"/>
        </w:rPr>
        <w:t xml:space="preserve">One of these, proposed by the parliamentary majority, would </w:t>
      </w:r>
      <w:r w:rsidRPr="00703B6E">
        <w:rPr>
          <w:noProof/>
          <w:lang w:eastAsia="fr-FR"/>
        </w:rPr>
        <w:t>task</w:t>
      </w:r>
      <w:r w:rsidRPr="0002081B">
        <w:rPr>
          <w:noProof/>
          <w:lang w:eastAsia="fr-FR"/>
        </w:rPr>
        <w:t xml:space="preserve"> </w:t>
      </w:r>
      <w:r w:rsidRPr="00703B6E">
        <w:rPr>
          <w:noProof/>
          <w:lang w:eastAsia="fr-FR"/>
        </w:rPr>
        <w:t>the Data Protection Authority</w:t>
      </w:r>
      <w:r w:rsidRPr="0002081B">
        <w:rPr>
          <w:noProof/>
          <w:lang w:eastAsia="fr-FR"/>
        </w:rPr>
        <w:t xml:space="preserve"> as NHRI</w:t>
      </w:r>
      <w:r w:rsidRPr="00703B6E">
        <w:rPr>
          <w:noProof/>
          <w:vertAlign w:val="superscript"/>
          <w:lang w:eastAsia="fr-FR"/>
        </w:rPr>
        <w:footnoteReference w:id="168"/>
      </w:r>
      <w:r w:rsidRPr="0002081B">
        <w:rPr>
          <w:noProof/>
          <w:lang w:eastAsia="fr-FR"/>
        </w:rPr>
        <w:t>. This proposal</w:t>
      </w:r>
      <w:r w:rsidRPr="00703B6E">
        <w:rPr>
          <w:noProof/>
          <w:lang w:eastAsia="fr-FR"/>
        </w:rPr>
        <w:t xml:space="preserve"> raised </w:t>
      </w:r>
      <w:r w:rsidRPr="0002081B">
        <w:rPr>
          <w:noProof/>
          <w:lang w:eastAsia="fr-FR"/>
        </w:rPr>
        <w:t>concerns among stakeholders, also in relation to the required expertise</w:t>
      </w:r>
      <w:r w:rsidRPr="00703B6E">
        <w:rPr>
          <w:noProof/>
          <w:vertAlign w:val="superscript"/>
          <w:lang w:eastAsia="fr-FR"/>
        </w:rPr>
        <w:footnoteReference w:id="169"/>
      </w:r>
      <w:r w:rsidRPr="00703B6E">
        <w:rPr>
          <w:noProof/>
          <w:lang w:eastAsia="fr-FR"/>
        </w:rPr>
        <w:t xml:space="preserve">. </w:t>
      </w:r>
      <w:r w:rsidRPr="0002081B">
        <w:rPr>
          <w:noProof/>
          <w:lang w:eastAsia="fr-FR"/>
        </w:rPr>
        <w:t>The Prime Minister’s Office set up a working group in October 2025 to relaunch the initiative</w:t>
      </w:r>
      <w:r>
        <w:rPr>
          <w:noProof/>
          <w:lang w:eastAsia="fr-FR"/>
        </w:rPr>
        <w:t xml:space="preserve"> to establish a NHRI, taking into account the Paris principles and the composite institutional framework</w:t>
      </w:r>
      <w:r w:rsidR="007041AE">
        <w:rPr>
          <w:noProof/>
          <w:lang w:eastAsia="fr-FR"/>
        </w:rPr>
        <w:t>,</w:t>
      </w:r>
      <w:r>
        <w:rPr>
          <w:noProof/>
          <w:lang w:eastAsia="fr-FR"/>
        </w:rPr>
        <w:t xml:space="preserve"> </w:t>
      </w:r>
      <w:r w:rsidR="007041AE">
        <w:rPr>
          <w:noProof/>
          <w:lang w:eastAsia="fr-FR"/>
        </w:rPr>
        <w:t xml:space="preserve">with various bodies responsible </w:t>
      </w:r>
      <w:r>
        <w:rPr>
          <w:noProof/>
          <w:lang w:eastAsia="fr-FR"/>
        </w:rPr>
        <w:t>for the protection of human rights in Italy</w:t>
      </w:r>
      <w:r w:rsidRPr="00703B6E">
        <w:rPr>
          <w:noProof/>
          <w:vertAlign w:val="superscript"/>
          <w:lang w:eastAsia="fr-FR"/>
        </w:rPr>
        <w:footnoteReference w:id="170"/>
      </w:r>
      <w:r w:rsidRPr="0002081B">
        <w:rPr>
          <w:noProof/>
          <w:lang w:eastAsia="fr-FR"/>
        </w:rPr>
        <w:t xml:space="preserve">. Stakeholders, including the Commissioner for Human Rights of the Council of Europe, continued to urge Italy – as one of the </w:t>
      </w:r>
      <w:r>
        <w:rPr>
          <w:noProof/>
          <w:lang w:eastAsia="fr-FR"/>
        </w:rPr>
        <w:t xml:space="preserve">very </w:t>
      </w:r>
      <w:r w:rsidRPr="0002081B">
        <w:rPr>
          <w:noProof/>
          <w:lang w:eastAsia="fr-FR"/>
        </w:rPr>
        <w:t>few Member States still without one – to set up an effective, independent and well-resourced NHRI, with a broad mandate</w:t>
      </w:r>
      <w:r w:rsidRPr="00703B6E">
        <w:rPr>
          <w:noProof/>
          <w:vertAlign w:val="superscript"/>
          <w:lang w:eastAsia="fr-FR"/>
        </w:rPr>
        <w:footnoteReference w:id="171"/>
      </w:r>
      <w:r w:rsidRPr="0002081B">
        <w:rPr>
          <w:noProof/>
          <w:lang w:eastAsia="fr-FR"/>
        </w:rPr>
        <w:t>.</w:t>
      </w:r>
      <w:r>
        <w:rPr>
          <w:noProof/>
          <w:lang w:eastAsia="fr-FR"/>
        </w:rPr>
        <w:t xml:space="preserve"> In parallel, a new equality body (</w:t>
      </w:r>
      <w:r w:rsidRPr="00D71250">
        <w:rPr>
          <w:i/>
          <w:iCs/>
          <w:noProof/>
          <w:lang w:eastAsia="fr-FR"/>
        </w:rPr>
        <w:t>Organismo per la Parità</w:t>
      </w:r>
      <w:r>
        <w:rPr>
          <w:noProof/>
          <w:lang w:eastAsia="fr-FR"/>
        </w:rPr>
        <w:t xml:space="preserve">) will start operating in 2027, with the aim to align with European </w:t>
      </w:r>
      <w:r w:rsidRPr="008F0C2C">
        <w:rPr>
          <w:noProof/>
          <w:lang w:eastAsia="fr-FR"/>
        </w:rPr>
        <w:t>standards for national equality bodies</w:t>
      </w:r>
      <w:r w:rsidRPr="00703B6E">
        <w:rPr>
          <w:noProof/>
          <w:vertAlign w:val="superscript"/>
          <w:lang w:eastAsia="fr-FR"/>
        </w:rPr>
        <w:footnoteReference w:id="172"/>
      </w:r>
      <w:r w:rsidRPr="008F0C2C">
        <w:rPr>
          <w:noProof/>
          <w:lang w:eastAsia="fr-FR"/>
        </w:rPr>
        <w:t>.</w:t>
      </w:r>
      <w:r w:rsidRPr="0002081B">
        <w:rPr>
          <w:noProof/>
          <w:lang w:eastAsia="fr-FR"/>
        </w:rPr>
        <w:t xml:space="preserve"> </w:t>
      </w:r>
      <w:r w:rsidRPr="00703B6E">
        <w:rPr>
          <w:noProof/>
          <w:lang w:eastAsia="fr-FR"/>
        </w:rPr>
        <w:t xml:space="preserve">Overall, </w:t>
      </w:r>
      <w:r w:rsidRPr="0002081B">
        <w:rPr>
          <w:noProof/>
          <w:lang w:eastAsia="fr-FR"/>
        </w:rPr>
        <w:t>limited</w:t>
      </w:r>
      <w:r w:rsidRPr="00703B6E">
        <w:rPr>
          <w:noProof/>
          <w:lang w:eastAsia="fr-FR"/>
        </w:rPr>
        <w:t xml:space="preserve"> progress has been made to implement the recommendation to establish a NHRI.</w:t>
      </w:r>
    </w:p>
    <w:p w14:paraId="6B610AD2" w14:textId="690BC236" w:rsidR="00490F94" w:rsidRPr="00703B6E" w:rsidRDefault="00490F94" w:rsidP="00490F94">
      <w:pPr>
        <w:rPr>
          <w:noProof/>
          <w:lang w:eastAsia="fr-FR"/>
        </w:rPr>
      </w:pPr>
      <w:r>
        <w:rPr>
          <w:b/>
          <w:noProof/>
          <w:lang w:eastAsia="fr-FR"/>
        </w:rPr>
        <w:t>New legislation</w:t>
      </w:r>
      <w:r w:rsidRPr="0FF586BA">
        <w:rPr>
          <w:b/>
          <w:noProof/>
          <w:lang w:eastAsia="fr-FR"/>
        </w:rPr>
        <w:t xml:space="preserve"> in the field of internal security </w:t>
      </w:r>
      <w:r>
        <w:rPr>
          <w:b/>
          <w:noProof/>
          <w:lang w:eastAsia="fr-FR"/>
        </w:rPr>
        <w:t>is</w:t>
      </w:r>
      <w:r w:rsidRPr="0FF586BA">
        <w:rPr>
          <w:b/>
          <w:noProof/>
          <w:lang w:eastAsia="fr-FR"/>
        </w:rPr>
        <w:t xml:space="preserve"> being implemented, </w:t>
      </w:r>
      <w:r w:rsidRPr="1FADDB79">
        <w:rPr>
          <w:b/>
          <w:bCs/>
          <w:noProof/>
          <w:lang w:eastAsia="fr-FR"/>
        </w:rPr>
        <w:t>with</w:t>
      </w:r>
      <w:r w:rsidRPr="0FF586BA">
        <w:rPr>
          <w:b/>
          <w:noProof/>
          <w:lang w:eastAsia="fr-FR"/>
        </w:rPr>
        <w:t xml:space="preserve"> stakeholders </w:t>
      </w:r>
      <w:r w:rsidRPr="1FADDB79">
        <w:rPr>
          <w:b/>
          <w:bCs/>
          <w:noProof/>
          <w:lang w:eastAsia="fr-FR"/>
        </w:rPr>
        <w:t>raising</w:t>
      </w:r>
      <w:r w:rsidRPr="0FF586BA">
        <w:rPr>
          <w:b/>
          <w:noProof/>
          <w:lang w:eastAsia="fr-FR"/>
        </w:rPr>
        <w:t xml:space="preserve"> concerns about possible impact</w:t>
      </w:r>
      <w:r w:rsidRPr="0FF586BA" w:rsidDel="7C4B5FE4">
        <w:rPr>
          <w:b/>
          <w:noProof/>
          <w:lang w:eastAsia="fr-FR"/>
        </w:rPr>
        <w:t xml:space="preserve"> </w:t>
      </w:r>
      <w:bookmarkStart w:id="23" w:name="_Hlk221050593"/>
      <w:r w:rsidRPr="0FF586BA">
        <w:rPr>
          <w:b/>
          <w:noProof/>
          <w:lang w:eastAsia="fr-FR"/>
        </w:rPr>
        <w:t>on civic space and the exercise of fundamental rights and freedoms</w:t>
      </w:r>
      <w:r w:rsidRPr="0FF586BA" w:rsidDel="7C4B5FE4">
        <w:rPr>
          <w:noProof/>
          <w:lang w:eastAsia="fr-FR"/>
        </w:rPr>
        <w:t>.</w:t>
      </w:r>
      <w:r w:rsidRPr="0FF586BA">
        <w:rPr>
          <w:noProof/>
          <w:lang w:eastAsia="fr-FR"/>
        </w:rPr>
        <w:t xml:space="preserve"> </w:t>
      </w:r>
      <w:bookmarkEnd w:id="23"/>
      <w:r w:rsidRPr="002D427A">
        <w:rPr>
          <w:noProof/>
          <w:lang w:eastAsia="fr-FR"/>
        </w:rPr>
        <w:t>In December 2025, Civicus downgraded the civic space in Italy from ‘narrowed’ to ‘obstructed’</w:t>
      </w:r>
      <w:r w:rsidRPr="002D427A">
        <w:rPr>
          <w:noProof/>
          <w:vertAlign w:val="superscript"/>
          <w:lang w:eastAsia="fr-FR"/>
        </w:rPr>
        <w:footnoteReference w:id="173"/>
      </w:r>
      <w:r w:rsidRPr="002D427A">
        <w:rPr>
          <w:noProof/>
          <w:lang w:eastAsia="fr-FR"/>
        </w:rPr>
        <w:t>.</w:t>
      </w:r>
      <w:r w:rsidRPr="0FF586BA">
        <w:rPr>
          <w:noProof/>
          <w:lang w:eastAsia="fr-FR"/>
        </w:rPr>
        <w:t xml:space="preserve"> The </w:t>
      </w:r>
      <w:bookmarkStart w:id="24" w:name="_Hlk222065331"/>
      <w:r>
        <w:rPr>
          <w:noProof/>
          <w:lang w:eastAsia="fr-FR"/>
        </w:rPr>
        <w:t>S</w:t>
      </w:r>
      <w:r w:rsidRPr="0FF586BA">
        <w:rPr>
          <w:noProof/>
          <w:lang w:eastAsia="fr-FR"/>
        </w:rPr>
        <w:t xml:space="preserve">ecurity </w:t>
      </w:r>
      <w:r>
        <w:rPr>
          <w:noProof/>
          <w:lang w:eastAsia="fr-FR"/>
        </w:rPr>
        <w:t>L</w:t>
      </w:r>
      <w:r w:rsidRPr="0FF586BA">
        <w:rPr>
          <w:noProof/>
          <w:lang w:eastAsia="fr-FR"/>
        </w:rPr>
        <w:t>aw</w:t>
      </w:r>
      <w:r>
        <w:rPr>
          <w:noProof/>
          <w:lang w:eastAsia="fr-FR"/>
        </w:rPr>
        <w:t>,</w:t>
      </w:r>
      <w:r w:rsidRPr="0FF586BA">
        <w:rPr>
          <w:noProof/>
          <w:lang w:eastAsia="fr-FR"/>
        </w:rPr>
        <w:t xml:space="preserve"> </w:t>
      </w:r>
      <w:bookmarkEnd w:id="24"/>
      <w:r w:rsidRPr="0FF586BA">
        <w:rPr>
          <w:noProof/>
          <w:lang w:eastAsia="fr-FR"/>
        </w:rPr>
        <w:t>adopted in June 2025 and seeking to combat terrorism and organised crime and improve internal security</w:t>
      </w:r>
      <w:r>
        <w:rPr>
          <w:noProof/>
          <w:lang w:eastAsia="fr-FR"/>
        </w:rPr>
        <w:t>,</w:t>
      </w:r>
      <w:r w:rsidRPr="0FF586BA">
        <w:rPr>
          <w:noProof/>
          <w:lang w:eastAsia="fr-FR"/>
        </w:rPr>
        <w:t xml:space="preserve"> introduce</w:t>
      </w:r>
      <w:r>
        <w:rPr>
          <w:noProof/>
          <w:lang w:eastAsia="fr-FR"/>
        </w:rPr>
        <w:t>d</w:t>
      </w:r>
      <w:r w:rsidRPr="0FF586BA">
        <w:rPr>
          <w:noProof/>
          <w:lang w:eastAsia="fr-FR"/>
        </w:rPr>
        <w:t xml:space="preserve"> new criminal offenses, also transforming previously administrative offenses into criminal ones, and expanded powers and protection of law enforcement authorities. </w:t>
      </w:r>
      <w:r w:rsidRPr="0002081B">
        <w:rPr>
          <w:noProof/>
          <w:color w:val="000000" w:themeColor="text1"/>
        </w:rPr>
        <w:t>It notably criminalised the destruction or damage of property at demonstrations, the blocking of roads or railways, and prohibited access to certain urban areas and means of transportation to persons reported or convicted for certain crimes in the same area</w:t>
      </w:r>
      <w:r w:rsidRPr="0FF586BA">
        <w:rPr>
          <w:noProof/>
          <w:vertAlign w:val="superscript"/>
          <w:lang w:eastAsia="fr-FR"/>
        </w:rPr>
        <w:footnoteReference w:id="174"/>
      </w:r>
      <w:r w:rsidRPr="0FF586BA">
        <w:rPr>
          <w:noProof/>
          <w:lang w:eastAsia="fr-FR"/>
        </w:rPr>
        <w:t>. In 2026, the Government put forward an emergency decree and a draft law</w:t>
      </w:r>
      <w:r w:rsidRPr="00703B6E">
        <w:rPr>
          <w:rStyle w:val="FootnoteReference"/>
          <w:noProof/>
          <w:lang w:eastAsia="fr-FR"/>
        </w:rPr>
        <w:footnoteReference w:id="175"/>
      </w:r>
      <w:r w:rsidRPr="0FF586BA">
        <w:rPr>
          <w:noProof/>
          <w:lang w:eastAsia="fr-FR"/>
        </w:rPr>
        <w:t xml:space="preserve"> defining </w:t>
      </w:r>
      <w:r w:rsidRPr="00A36427">
        <w:rPr>
          <w:noProof/>
          <w:lang w:eastAsia="fr-FR"/>
        </w:rPr>
        <w:t>additional criminal offences and harsher penalties for violati</w:t>
      </w:r>
      <w:r w:rsidRPr="007C4638">
        <w:rPr>
          <w:noProof/>
          <w:lang w:eastAsia="fr-FR"/>
        </w:rPr>
        <w:t>ng</w:t>
      </w:r>
      <w:r w:rsidRPr="00A36427">
        <w:rPr>
          <w:noProof/>
          <w:lang w:eastAsia="fr-FR"/>
        </w:rPr>
        <w:t xml:space="preserve"> legislation</w:t>
      </w:r>
      <w:r w:rsidRPr="007C4638">
        <w:rPr>
          <w:noProof/>
          <w:lang w:eastAsia="fr-FR"/>
        </w:rPr>
        <w:t xml:space="preserve"> on assemblies</w:t>
      </w:r>
      <w:r w:rsidRPr="00A36427">
        <w:rPr>
          <w:rStyle w:val="FootnoteReference"/>
          <w:noProof/>
          <w:lang w:eastAsia="fr-FR"/>
        </w:rPr>
        <w:footnoteReference w:id="176"/>
      </w:r>
      <w:r>
        <w:rPr>
          <w:noProof/>
          <w:lang w:eastAsia="fr-FR"/>
        </w:rPr>
        <w:t>.</w:t>
      </w:r>
      <w:r w:rsidRPr="0FF586BA">
        <w:rPr>
          <w:noProof/>
          <w:lang w:eastAsia="fr-FR"/>
        </w:rPr>
        <w:t xml:space="preserve"> </w:t>
      </w:r>
      <w:r>
        <w:rPr>
          <w:noProof/>
          <w:lang w:eastAsia="fr-FR"/>
        </w:rPr>
        <w:t xml:space="preserve">The emergency decree, </w:t>
      </w:r>
      <w:r w:rsidRPr="0FF586BA">
        <w:rPr>
          <w:noProof/>
          <w:lang w:eastAsia="fr-FR"/>
        </w:rPr>
        <w:t xml:space="preserve">issued in February and converted into law in </w:t>
      </w:r>
      <w:r w:rsidRPr="0002081B">
        <w:rPr>
          <w:noProof/>
          <w:lang w:eastAsia="fr-FR"/>
        </w:rPr>
        <w:t>April</w:t>
      </w:r>
      <w:r>
        <w:rPr>
          <w:noProof/>
          <w:lang w:eastAsia="fr-FR"/>
        </w:rPr>
        <w:t xml:space="preserve"> 2026, notably </w:t>
      </w:r>
      <w:r w:rsidRPr="00BF4BB8">
        <w:rPr>
          <w:noProof/>
          <w:lang w:eastAsia="fr-FR"/>
        </w:rPr>
        <w:t>expand</w:t>
      </w:r>
      <w:r>
        <w:rPr>
          <w:noProof/>
          <w:lang w:eastAsia="fr-FR"/>
        </w:rPr>
        <w:t>s</w:t>
      </w:r>
      <w:r w:rsidRPr="00BF4BB8">
        <w:rPr>
          <w:noProof/>
          <w:lang w:eastAsia="fr-FR"/>
        </w:rPr>
        <w:t xml:space="preserve"> police powers</w:t>
      </w:r>
      <w:r>
        <w:rPr>
          <w:noProof/>
          <w:lang w:eastAsia="fr-FR"/>
        </w:rPr>
        <w:t xml:space="preserve"> and</w:t>
      </w:r>
      <w:r w:rsidRPr="00BF4BB8">
        <w:rPr>
          <w:noProof/>
          <w:lang w:eastAsia="fr-FR"/>
        </w:rPr>
        <w:t xml:space="preserve"> surveillance</w:t>
      </w:r>
      <w:r w:rsidRPr="0FF586BA">
        <w:rPr>
          <w:noProof/>
          <w:lang w:eastAsia="fr-FR"/>
        </w:rPr>
        <w:t xml:space="preserve"> with the aim to protect law enforcement officials and </w:t>
      </w:r>
      <w:r>
        <w:rPr>
          <w:noProof/>
          <w:lang w:eastAsia="fr-FR"/>
        </w:rPr>
        <w:t xml:space="preserve">strengthen security during public </w:t>
      </w:r>
      <w:r w:rsidRPr="0FF586BA">
        <w:rPr>
          <w:noProof/>
          <w:lang w:eastAsia="fr-FR"/>
        </w:rPr>
        <w:t>demonstrations</w:t>
      </w:r>
      <w:r w:rsidRPr="0FF586BA">
        <w:rPr>
          <w:rStyle w:val="FootnoteReference"/>
          <w:noProof/>
          <w:lang w:eastAsia="fr-FR"/>
        </w:rPr>
        <w:footnoteReference w:id="177"/>
      </w:r>
      <w:r w:rsidRPr="0FF586BA">
        <w:rPr>
          <w:noProof/>
          <w:lang w:eastAsia="fr-FR"/>
        </w:rPr>
        <w:t xml:space="preserve">. Stakeholders </w:t>
      </w:r>
      <w:r>
        <w:rPr>
          <w:noProof/>
          <w:lang w:eastAsia="fr-FR"/>
        </w:rPr>
        <w:t>voice concern</w:t>
      </w:r>
      <w:r w:rsidRPr="0FF586BA">
        <w:rPr>
          <w:noProof/>
          <w:lang w:eastAsia="fr-FR"/>
        </w:rPr>
        <w:t xml:space="preserve"> </w:t>
      </w:r>
      <w:r>
        <w:rPr>
          <w:noProof/>
          <w:lang w:eastAsia="fr-FR"/>
        </w:rPr>
        <w:t xml:space="preserve">about </w:t>
      </w:r>
      <w:r w:rsidRPr="0FF586BA">
        <w:rPr>
          <w:noProof/>
          <w:lang w:eastAsia="fr-FR"/>
        </w:rPr>
        <w:t xml:space="preserve">developments related to restrictions to the right </w:t>
      </w:r>
      <w:r w:rsidRPr="002B3B0A">
        <w:rPr>
          <w:noProof/>
          <w:lang w:eastAsia="fr-FR"/>
        </w:rPr>
        <w:t>to protest</w:t>
      </w:r>
      <w:r w:rsidRPr="002B3B0A">
        <w:rPr>
          <w:rStyle w:val="FootnoteReference"/>
          <w:noProof/>
          <w:lang w:eastAsia="fr-FR"/>
        </w:rPr>
        <w:footnoteReference w:id="178"/>
      </w:r>
      <w:r w:rsidRPr="002B3B0A">
        <w:rPr>
          <w:noProof/>
          <w:lang w:eastAsia="fr-FR"/>
        </w:rPr>
        <w:t xml:space="preserve"> </w:t>
      </w:r>
      <w:r w:rsidR="00223137">
        <w:rPr>
          <w:noProof/>
          <w:lang w:eastAsia="fr-FR"/>
        </w:rPr>
        <w:t>and</w:t>
      </w:r>
      <w:r w:rsidRPr="00564F95">
        <w:rPr>
          <w:noProof/>
          <w:lang w:eastAsia="fr-FR"/>
        </w:rPr>
        <w:t xml:space="preserve"> about their possible impact on civic space and the exercise of fundamental rights and freedoms</w:t>
      </w:r>
      <w:r w:rsidRPr="0FF586BA">
        <w:rPr>
          <w:rStyle w:val="FootnoteReference"/>
          <w:noProof/>
          <w:lang w:eastAsia="fr-FR"/>
        </w:rPr>
        <w:footnoteReference w:id="179"/>
      </w:r>
      <w:r w:rsidRPr="0FF586BA">
        <w:rPr>
          <w:noProof/>
        </w:rPr>
        <w:t>.</w:t>
      </w:r>
      <w:r w:rsidR="003C17CF">
        <w:rPr>
          <w:noProof/>
        </w:rPr>
        <w:t xml:space="preserve"> </w:t>
      </w:r>
      <w:r w:rsidR="003C17CF" w:rsidRPr="002F5EB8">
        <w:rPr>
          <w:noProof/>
        </w:rPr>
        <w:t>The Government consider</w:t>
      </w:r>
      <w:r w:rsidR="00CF2602">
        <w:rPr>
          <w:noProof/>
        </w:rPr>
        <w:t>s</w:t>
      </w:r>
      <w:r w:rsidR="003C17CF" w:rsidRPr="002F5EB8">
        <w:rPr>
          <w:noProof/>
        </w:rPr>
        <w:t xml:space="preserve"> instead that the new provisions achieve a balance between the right to peaceful assembly and the right to free movement and personal freedom, all of which are protected by the Constitution</w:t>
      </w:r>
      <w:r w:rsidR="000E4853">
        <w:rPr>
          <w:rStyle w:val="FootnoteReference"/>
          <w:noProof/>
        </w:rPr>
        <w:footnoteReference w:id="180"/>
      </w:r>
      <w:r w:rsidR="003C17CF" w:rsidRPr="002F5EB8">
        <w:rPr>
          <w:noProof/>
        </w:rPr>
        <w:t>.</w:t>
      </w:r>
      <w:r>
        <w:rPr>
          <w:noProof/>
        </w:rPr>
        <w:t xml:space="preserve"> In May 2026, in a periodic study on legislative developments, the Court of Cassation provided observations on procedure and substance on the 2026 Security Law and its </w:t>
      </w:r>
      <w:r w:rsidRPr="00EF1CD3">
        <w:rPr>
          <w:noProof/>
        </w:rPr>
        <w:t xml:space="preserve">compatibility with constitutional </w:t>
      </w:r>
      <w:r>
        <w:rPr>
          <w:noProof/>
        </w:rPr>
        <w:t>guarantees</w:t>
      </w:r>
      <w:r w:rsidRPr="00EF1CD3">
        <w:rPr>
          <w:noProof/>
        </w:rPr>
        <w:t xml:space="preserve"> of </w:t>
      </w:r>
      <w:r>
        <w:rPr>
          <w:noProof/>
        </w:rPr>
        <w:t>fundamental rights and freedoms</w:t>
      </w:r>
      <w:r w:rsidRPr="0FF586BA">
        <w:rPr>
          <w:rStyle w:val="FootnoteReference"/>
          <w:noProof/>
          <w:lang w:eastAsia="fr-FR"/>
        </w:rPr>
        <w:footnoteReference w:id="181"/>
      </w:r>
      <w:r>
        <w:rPr>
          <w:noProof/>
        </w:rPr>
        <w:t>.</w:t>
      </w:r>
      <w:r w:rsidRPr="0FF586BA">
        <w:rPr>
          <w:noProof/>
        </w:rPr>
        <w:t xml:space="preserve"> </w:t>
      </w:r>
      <w:r>
        <w:rPr>
          <w:noProof/>
          <w:lang w:eastAsia="fr-FR"/>
        </w:rPr>
        <w:t xml:space="preserve">Some </w:t>
      </w:r>
      <w:r>
        <w:rPr>
          <w:noProof/>
        </w:rPr>
        <w:t xml:space="preserve">stakeholders also reported that certain civil society organisations faced </w:t>
      </w:r>
      <w:r w:rsidRPr="0FF586BA">
        <w:rPr>
          <w:noProof/>
          <w:lang w:val="en-IE" w:eastAsia="fr-FR"/>
        </w:rPr>
        <w:t>vexatious legal actions</w:t>
      </w:r>
      <w:r w:rsidRPr="2F149791">
        <w:rPr>
          <w:noProof/>
          <w:lang w:val="en-IE" w:eastAsia="fr-FR"/>
        </w:rPr>
        <w:t xml:space="preserve">, </w:t>
      </w:r>
      <w:r>
        <w:rPr>
          <w:noProof/>
          <w:lang w:val="en-IE" w:eastAsia="fr-FR"/>
        </w:rPr>
        <w:t>including</w:t>
      </w:r>
      <w:r w:rsidRPr="2F149791">
        <w:rPr>
          <w:noProof/>
          <w:lang w:val="en-IE" w:eastAsia="fr-FR"/>
        </w:rPr>
        <w:t xml:space="preserve"> SLAPP</w:t>
      </w:r>
      <w:r>
        <w:rPr>
          <w:noProof/>
          <w:lang w:val="en-IE" w:eastAsia="fr-FR"/>
        </w:rPr>
        <w:t>, to discourage civic participation</w:t>
      </w:r>
      <w:r>
        <w:rPr>
          <w:rStyle w:val="FootnoteReference"/>
          <w:noProof/>
          <w:lang w:val="en-IE" w:eastAsia="fr-FR"/>
        </w:rPr>
        <w:footnoteReference w:id="182"/>
      </w:r>
      <w:r>
        <w:rPr>
          <w:noProof/>
          <w:lang w:val="en-IE" w:eastAsia="fr-FR"/>
        </w:rPr>
        <w:t>.</w:t>
      </w:r>
    </w:p>
    <w:p w14:paraId="04E9104E" w14:textId="77777777" w:rsidR="00490F94" w:rsidRPr="00703B6E" w:rsidRDefault="00490F94" w:rsidP="00490F94">
      <w:pPr>
        <w:pageBreakBefore/>
        <w:spacing w:after="120" w:line="264" w:lineRule="auto"/>
        <w:rPr>
          <w:b/>
          <w:noProof/>
          <w:lang w:eastAsia="en-GB"/>
        </w:rPr>
      </w:pPr>
      <w:r w:rsidRPr="00703B6E">
        <w:rPr>
          <w:b/>
          <w:noProof/>
          <w:lang w:eastAsia="en-GB"/>
        </w:rPr>
        <w:t>Annex I: List of sources in alphabetical order*</w:t>
      </w:r>
    </w:p>
    <w:p w14:paraId="7C23371B" w14:textId="4E328F94" w:rsidR="00490F94" w:rsidRPr="00703B6E" w:rsidRDefault="00490F94" w:rsidP="00490F94">
      <w:pPr>
        <w:spacing w:after="120"/>
        <w:rPr>
          <w:i/>
          <w:noProof/>
          <w:sz w:val="22"/>
          <w:lang w:eastAsia="en-GB"/>
        </w:rPr>
      </w:pPr>
      <w:r w:rsidRPr="00703B6E">
        <w:rPr>
          <w:i/>
          <w:noProof/>
          <w:sz w:val="22"/>
          <w:lang w:eastAsia="en-GB"/>
        </w:rPr>
        <w:t xml:space="preserve">* The list of contributions received in the context of the consultation for the 2026 Rule of Law Report can be found at </w:t>
      </w:r>
      <w:hyperlink r:id="rId22" w:history="1">
        <w:r w:rsidR="00C35606" w:rsidRPr="00C35606">
          <w:rPr>
            <w:rStyle w:val="Hyperlink"/>
            <w:i/>
            <w:noProof/>
            <w:sz w:val="22"/>
            <w:lang w:val="en-US" w:eastAsia="en-GB"/>
          </w:rPr>
          <w:t>https://commission.europa.eu/publications/2026-rule-law-report-targeted-stakeholder-consultation_en</w:t>
        </w:r>
      </w:hyperlink>
      <w:r w:rsidRPr="00703B6E">
        <w:rPr>
          <w:i/>
          <w:noProof/>
          <w:sz w:val="22"/>
          <w:lang w:eastAsia="en-GB"/>
        </w:rPr>
        <w:t>.</w:t>
      </w:r>
    </w:p>
    <w:p w14:paraId="6E05FE8B" w14:textId="77777777" w:rsidR="00490F94" w:rsidRPr="008D1BFF" w:rsidRDefault="00490F94" w:rsidP="00490F94">
      <w:pPr>
        <w:spacing w:after="120"/>
        <w:rPr>
          <w:i/>
          <w:noProof/>
          <w:sz w:val="22"/>
          <w:lang w:eastAsia="en-GB"/>
        </w:rPr>
      </w:pPr>
    </w:p>
    <w:p w14:paraId="7702FE86" w14:textId="77777777" w:rsidR="00490F94" w:rsidRPr="008D1BFF" w:rsidDel="00BA6FF3" w:rsidRDefault="00490F94" w:rsidP="00490F94">
      <w:pPr>
        <w:spacing w:after="120"/>
        <w:rPr>
          <w:noProof/>
          <w:sz w:val="22"/>
          <w:lang w:eastAsia="en-GB"/>
        </w:rPr>
      </w:pPr>
      <w:r w:rsidRPr="001D2576">
        <w:rPr>
          <w:noProof/>
          <w:sz w:val="22"/>
        </w:rPr>
        <w:t>AGCOM (2026),</w:t>
      </w:r>
      <w:r w:rsidRPr="008D6BA0">
        <w:rPr>
          <w:noProof/>
          <w:sz w:val="22"/>
        </w:rPr>
        <w:t xml:space="preserve"> </w:t>
      </w:r>
      <w:r w:rsidRPr="008D6BA0">
        <w:rPr>
          <w:i/>
          <w:noProof/>
          <w:sz w:val="22"/>
        </w:rPr>
        <w:t>Contribution</w:t>
      </w:r>
      <w:r w:rsidRPr="008D1BFF">
        <w:rPr>
          <w:i/>
          <w:noProof/>
          <w:sz w:val="22"/>
        </w:rPr>
        <w:t xml:space="preserve"> from AGCOM for the 2026 Rule of Law Report.</w:t>
      </w:r>
    </w:p>
    <w:p w14:paraId="48EB4767" w14:textId="77777777" w:rsidR="00490F94" w:rsidRPr="008D1BFF" w:rsidRDefault="00490F94" w:rsidP="00490F94">
      <w:pPr>
        <w:spacing w:after="120"/>
        <w:rPr>
          <w:i/>
          <w:noProof/>
          <w:sz w:val="22"/>
        </w:rPr>
      </w:pPr>
      <w:r w:rsidRPr="008D1BFF">
        <w:rPr>
          <w:noProof/>
          <w:sz w:val="22"/>
        </w:rPr>
        <w:t xml:space="preserve">ANAC (2026), </w:t>
      </w:r>
      <w:r w:rsidRPr="008D1BFF">
        <w:rPr>
          <w:i/>
          <w:noProof/>
          <w:sz w:val="22"/>
        </w:rPr>
        <w:t>Contribution from ANAC for the 2026 Rule of Law Report.</w:t>
      </w:r>
    </w:p>
    <w:p w14:paraId="11D5169F" w14:textId="44FBE271" w:rsidR="00490F94" w:rsidRPr="007C4638" w:rsidRDefault="00490F94" w:rsidP="002B3B0A">
      <w:pPr>
        <w:spacing w:after="160" w:line="259" w:lineRule="auto"/>
        <w:rPr>
          <w:noProof/>
          <w:sz w:val="22"/>
          <w:lang w:val="en-IE"/>
        </w:rPr>
      </w:pPr>
      <w:r w:rsidRPr="007C4638">
        <w:rPr>
          <w:noProof/>
          <w:sz w:val="22"/>
          <w:lang w:val="en-IE"/>
        </w:rPr>
        <w:t>ANAC (2026</w:t>
      </w:r>
      <w:r w:rsidR="00C73404">
        <w:rPr>
          <w:noProof/>
          <w:sz w:val="22"/>
          <w:lang w:val="en-IE"/>
        </w:rPr>
        <w:t>a</w:t>
      </w:r>
      <w:r w:rsidRPr="007C4638">
        <w:rPr>
          <w:noProof/>
          <w:sz w:val="22"/>
          <w:lang w:val="en-IE"/>
        </w:rPr>
        <w:t xml:space="preserve">), </w:t>
      </w:r>
      <w:r w:rsidRPr="007C4638">
        <w:rPr>
          <w:i/>
          <w:noProof/>
          <w:sz w:val="22"/>
          <w:lang w:val="en-IE"/>
        </w:rPr>
        <w:t>Annual report 2025 – Presentation by the ANAC President to the Chamber of Deputies</w:t>
      </w:r>
      <w:r w:rsidRPr="007C4638">
        <w:rPr>
          <w:noProof/>
          <w:sz w:val="22"/>
          <w:lang w:val="en-IE"/>
        </w:rPr>
        <w:t xml:space="preserve">, 21 April 2026, </w:t>
      </w:r>
      <w:hyperlink r:id="rId23" w:history="1">
        <w:r w:rsidRPr="00223270">
          <w:rPr>
            <w:rStyle w:val="Hyperlink"/>
            <w:noProof/>
            <w:sz w:val="22"/>
            <w:lang w:val="en-IE"/>
          </w:rPr>
          <w:t>https://www.anticorruzione.it/documents/91439/393633199/Anac+-+Presentazione+della+Relazione+annuale+2026+su+attivit%C3%A0+2025.pdf/f7b5224c-6397-06ae-7c23-be464a3b1fc6?t=1776845817673</w:t>
        </w:r>
      </w:hyperlink>
      <w:r w:rsidRPr="007C4638">
        <w:rPr>
          <w:noProof/>
          <w:sz w:val="22"/>
          <w:lang w:val="en-IE"/>
        </w:rPr>
        <w:t>.</w:t>
      </w:r>
    </w:p>
    <w:p w14:paraId="568E09EC" w14:textId="0E2AF4E0" w:rsidR="00C73404" w:rsidRPr="002B3B0A" w:rsidRDefault="00C73404" w:rsidP="002B3B0A">
      <w:pPr>
        <w:spacing w:after="160" w:line="259" w:lineRule="auto"/>
        <w:rPr>
          <w:noProof/>
          <w:sz w:val="22"/>
          <w:szCs w:val="22"/>
          <w:lang w:val="en-IE"/>
        </w:rPr>
      </w:pPr>
      <w:r w:rsidRPr="002B3B0A">
        <w:rPr>
          <w:noProof/>
          <w:sz w:val="22"/>
          <w:szCs w:val="22"/>
          <w:lang w:val="en-IE"/>
        </w:rPr>
        <w:t xml:space="preserve">ANAC(2026b), </w:t>
      </w:r>
      <w:r w:rsidRPr="002B3B0A">
        <w:rPr>
          <w:i/>
          <w:noProof/>
          <w:sz w:val="22"/>
          <w:szCs w:val="22"/>
          <w:lang w:val="en-IE"/>
        </w:rPr>
        <w:t>National Anti-Corruption Plan 2025</w:t>
      </w:r>
      <w:r w:rsidRPr="002B3B0A">
        <w:rPr>
          <w:noProof/>
          <w:sz w:val="22"/>
          <w:szCs w:val="22"/>
          <w:lang w:val="en-IE"/>
        </w:rPr>
        <w:t xml:space="preserve">, 28 January 2026, </w:t>
      </w:r>
      <w:hyperlink r:id="rId24" w:history="1">
        <w:r w:rsidRPr="002B3B0A">
          <w:rPr>
            <w:rStyle w:val="Hyperlink"/>
            <w:noProof/>
            <w:sz w:val="22"/>
            <w:szCs w:val="22"/>
            <w:lang w:val="en-IE"/>
          </w:rPr>
          <w:t>https://www.anticorruzione.it/ en/-/piano-nazionale-anticorruzione-2025</w:t>
        </w:r>
      </w:hyperlink>
      <w:r w:rsidRPr="002B3B0A">
        <w:rPr>
          <w:noProof/>
          <w:sz w:val="22"/>
          <w:szCs w:val="22"/>
          <w:lang w:val="en-IE"/>
        </w:rPr>
        <w:t xml:space="preserve">. </w:t>
      </w:r>
    </w:p>
    <w:p w14:paraId="1F3C0379" w14:textId="58688807" w:rsidR="00490F94" w:rsidRDefault="00490F94" w:rsidP="00490F94">
      <w:pPr>
        <w:spacing w:after="160" w:line="259" w:lineRule="auto"/>
        <w:jc w:val="left"/>
        <w:rPr>
          <w:noProof/>
          <w:sz w:val="22"/>
          <w:lang w:val="en-IE"/>
        </w:rPr>
      </w:pPr>
      <w:r w:rsidRPr="007C4638">
        <w:rPr>
          <w:noProof/>
          <w:sz w:val="22"/>
          <w:lang w:val="en-IE"/>
        </w:rPr>
        <w:t>ANAC (2025</w:t>
      </w:r>
      <w:r w:rsidR="00F80DD5">
        <w:rPr>
          <w:noProof/>
          <w:sz w:val="22"/>
          <w:lang w:val="en-IE"/>
        </w:rPr>
        <w:t>a</w:t>
      </w:r>
      <w:r w:rsidRPr="007C4638">
        <w:rPr>
          <w:noProof/>
          <w:sz w:val="22"/>
          <w:lang w:val="en-IE"/>
        </w:rPr>
        <w:t xml:space="preserve">), </w:t>
      </w:r>
      <w:r w:rsidRPr="007C4638">
        <w:rPr>
          <w:i/>
          <w:iCs/>
          <w:noProof/>
          <w:sz w:val="22"/>
          <w:lang w:val="en-IE"/>
        </w:rPr>
        <w:t xml:space="preserve">Guidelines </w:t>
      </w:r>
      <w:r w:rsidRPr="008D1BFF">
        <w:rPr>
          <w:i/>
          <w:iCs/>
          <w:noProof/>
          <w:sz w:val="22"/>
          <w:lang w:val="en-IE"/>
        </w:rPr>
        <w:t>N</w:t>
      </w:r>
      <w:r w:rsidRPr="007C4638">
        <w:rPr>
          <w:i/>
          <w:iCs/>
          <w:noProof/>
          <w:sz w:val="22"/>
          <w:lang w:val="en-IE"/>
        </w:rPr>
        <w:t xml:space="preserve">o. 1 </w:t>
      </w:r>
      <w:r w:rsidR="00AB7DF9">
        <w:rPr>
          <w:i/>
          <w:iCs/>
          <w:noProof/>
          <w:sz w:val="22"/>
          <w:lang w:val="en-IE"/>
        </w:rPr>
        <w:t>of</w:t>
      </w:r>
      <w:r w:rsidRPr="007C4638">
        <w:rPr>
          <w:i/>
          <w:iCs/>
          <w:noProof/>
          <w:sz w:val="22"/>
          <w:lang w:val="en-IE"/>
        </w:rPr>
        <w:t xml:space="preserve"> 2025 on internal channels for whistleblowing</w:t>
      </w:r>
      <w:r w:rsidRPr="008D1BFF">
        <w:rPr>
          <w:noProof/>
          <w:sz w:val="22"/>
          <w:lang w:val="en-IE"/>
        </w:rPr>
        <w:t>, 26 November 2025</w:t>
      </w:r>
      <w:r w:rsidRPr="007C4638">
        <w:rPr>
          <w:noProof/>
          <w:sz w:val="22"/>
          <w:lang w:val="en-IE"/>
        </w:rPr>
        <w:t xml:space="preserve"> </w:t>
      </w:r>
      <w:hyperlink r:id="rId25" w:history="1">
        <w:r w:rsidRPr="00223270">
          <w:rPr>
            <w:rStyle w:val="Hyperlink"/>
            <w:noProof/>
            <w:sz w:val="22"/>
            <w:lang w:val="en-IE"/>
          </w:rPr>
          <w:t>https://www.anticorruzione.it/en/-/del.n.478-26.11.2025.llgg.wb</w:t>
        </w:r>
      </w:hyperlink>
      <w:r w:rsidRPr="007C4638">
        <w:rPr>
          <w:noProof/>
          <w:sz w:val="22"/>
          <w:lang w:val="en-IE"/>
        </w:rPr>
        <w:t>.</w:t>
      </w:r>
    </w:p>
    <w:p w14:paraId="562F1129" w14:textId="0CDE404A" w:rsidR="000406C7" w:rsidRPr="00494071" w:rsidRDefault="000406C7" w:rsidP="002B3B0A">
      <w:pPr>
        <w:spacing w:after="160" w:line="259" w:lineRule="auto"/>
        <w:rPr>
          <w:noProof/>
          <w:sz w:val="22"/>
          <w:lang w:val="en-IE"/>
        </w:rPr>
      </w:pPr>
      <w:r w:rsidRPr="00494071">
        <w:rPr>
          <w:noProof/>
          <w:sz w:val="22"/>
          <w:lang w:val="en-IE"/>
        </w:rPr>
        <w:t>ANAC (2025</w:t>
      </w:r>
      <w:r w:rsidR="00F80DD5">
        <w:rPr>
          <w:noProof/>
          <w:sz w:val="22"/>
          <w:lang w:val="en-IE"/>
        </w:rPr>
        <w:t>b</w:t>
      </w:r>
      <w:r w:rsidRPr="00494071">
        <w:rPr>
          <w:noProof/>
          <w:sz w:val="22"/>
          <w:lang w:val="en-IE"/>
        </w:rPr>
        <w:t>)</w:t>
      </w:r>
      <w:r w:rsidRPr="002B3B0A">
        <w:rPr>
          <w:noProof/>
          <w:sz w:val="22"/>
          <w:lang w:val="en-IE"/>
        </w:rPr>
        <w:t xml:space="preserve">, </w:t>
      </w:r>
      <w:r w:rsidRPr="002B3B0A">
        <w:rPr>
          <w:i/>
          <w:iCs/>
          <w:noProof/>
          <w:sz w:val="22"/>
          <w:lang w:val="en-IE"/>
        </w:rPr>
        <w:t>Notification act No. 3 of 23 July 2025 concer</w:t>
      </w:r>
      <w:r w:rsidR="006904C2">
        <w:rPr>
          <w:i/>
          <w:iCs/>
          <w:noProof/>
          <w:sz w:val="22"/>
          <w:lang w:val="en-IE"/>
        </w:rPr>
        <w:t>n</w:t>
      </w:r>
      <w:r w:rsidRPr="002B3B0A">
        <w:rPr>
          <w:i/>
          <w:iCs/>
          <w:noProof/>
          <w:sz w:val="22"/>
          <w:lang w:val="en-IE"/>
        </w:rPr>
        <w:t xml:space="preserve">ing the applicability of </w:t>
      </w:r>
      <w:r w:rsidR="00494071" w:rsidRPr="002B3B0A">
        <w:rPr>
          <w:i/>
          <w:iCs/>
          <w:noProof/>
          <w:sz w:val="22"/>
          <w:lang w:val="en-IE"/>
        </w:rPr>
        <w:t>Legislative Decree No. 39 of 8 April 2013</w:t>
      </w:r>
      <w:r w:rsidR="00494071">
        <w:rPr>
          <w:noProof/>
          <w:sz w:val="22"/>
          <w:lang w:val="en-IE"/>
        </w:rPr>
        <w:t xml:space="preserve">, </w:t>
      </w:r>
      <w:hyperlink r:id="rId26" w:history="1">
        <w:r w:rsidR="00C73404" w:rsidRPr="005179C1">
          <w:rPr>
            <w:rStyle w:val="Hyperlink"/>
            <w:noProof/>
            <w:sz w:val="22"/>
            <w:lang w:val="en-IE"/>
          </w:rPr>
          <w:t>https://www.anticorruzione.it/en/-/atto-di-segnalazione-n.-3-del-23-luglio-2025</w:t>
        </w:r>
      </w:hyperlink>
      <w:r w:rsidR="00494071">
        <w:rPr>
          <w:noProof/>
          <w:sz w:val="22"/>
          <w:lang w:val="en-IE"/>
        </w:rPr>
        <w:t>.</w:t>
      </w:r>
      <w:r w:rsidRPr="00494071">
        <w:rPr>
          <w:noProof/>
          <w:sz w:val="22"/>
          <w:lang w:val="en-IE"/>
        </w:rPr>
        <w:t xml:space="preserve"> </w:t>
      </w:r>
    </w:p>
    <w:p w14:paraId="15743CEF" w14:textId="3D375DD1" w:rsidR="00F80DD5" w:rsidRPr="007C4638" w:rsidRDefault="00F80DD5" w:rsidP="00F80DD5">
      <w:pPr>
        <w:spacing w:after="160" w:line="259" w:lineRule="auto"/>
        <w:jc w:val="left"/>
        <w:rPr>
          <w:b/>
          <w:noProof/>
          <w:sz w:val="22"/>
          <w:lang w:val="en-IE"/>
        </w:rPr>
      </w:pPr>
      <w:r w:rsidRPr="007C4638">
        <w:rPr>
          <w:noProof/>
          <w:sz w:val="22"/>
          <w:lang w:val="en-IE"/>
        </w:rPr>
        <w:t>ANAC (2025</w:t>
      </w:r>
      <w:r>
        <w:rPr>
          <w:noProof/>
          <w:sz w:val="22"/>
          <w:lang w:val="en-IE"/>
        </w:rPr>
        <w:t>c</w:t>
      </w:r>
      <w:r w:rsidRPr="007C4638">
        <w:rPr>
          <w:noProof/>
          <w:sz w:val="22"/>
          <w:lang w:val="en-IE"/>
        </w:rPr>
        <w:t xml:space="preserve">), </w:t>
      </w:r>
      <w:r w:rsidRPr="007C4638">
        <w:rPr>
          <w:i/>
          <w:iCs/>
          <w:noProof/>
          <w:sz w:val="22"/>
          <w:lang w:val="en-IE"/>
        </w:rPr>
        <w:t>Annual report 2024</w:t>
      </w:r>
      <w:r w:rsidRPr="008D1BFF">
        <w:rPr>
          <w:noProof/>
          <w:sz w:val="22"/>
          <w:lang w:val="en-IE"/>
        </w:rPr>
        <w:t>, 20 May 2025,</w:t>
      </w:r>
      <w:r>
        <w:rPr>
          <w:noProof/>
          <w:sz w:val="22"/>
          <w:lang w:val="en-IE"/>
        </w:rPr>
        <w:t xml:space="preserve"> </w:t>
      </w:r>
      <w:hyperlink r:id="rId27" w:history="1">
        <w:r w:rsidRPr="00223270">
          <w:rPr>
            <w:rStyle w:val="Hyperlink"/>
            <w:noProof/>
            <w:sz w:val="22"/>
            <w:lang w:val="en-IE"/>
          </w:rPr>
          <w:t>https://www.anticorruzione.it/en/-/relazione.annuale.2025</w:t>
        </w:r>
      </w:hyperlink>
      <w:r w:rsidRPr="007C4638">
        <w:rPr>
          <w:noProof/>
          <w:sz w:val="22"/>
          <w:lang w:val="en-IE"/>
        </w:rPr>
        <w:t>.</w:t>
      </w:r>
    </w:p>
    <w:p w14:paraId="5C5DF3ED" w14:textId="77777777" w:rsidR="00490F94" w:rsidRPr="00F80DD5" w:rsidRDefault="00490F94" w:rsidP="00490F94">
      <w:pPr>
        <w:spacing w:after="120"/>
        <w:rPr>
          <w:noProof/>
          <w:sz w:val="22"/>
          <w:szCs w:val="22"/>
          <w:lang w:eastAsia="en-GB"/>
        </w:rPr>
      </w:pPr>
      <w:r w:rsidRPr="00F80DD5">
        <w:rPr>
          <w:noProof/>
          <w:sz w:val="22"/>
          <w:szCs w:val="22"/>
        </w:rPr>
        <w:t xml:space="preserve">Articolo 21 (2026), </w:t>
      </w:r>
      <w:r w:rsidRPr="00F80DD5">
        <w:rPr>
          <w:i/>
          <w:noProof/>
          <w:sz w:val="22"/>
          <w:szCs w:val="22"/>
        </w:rPr>
        <w:t>Contribution from Articolo 21 for the 2026 Rule of Law Report.</w:t>
      </w:r>
    </w:p>
    <w:p w14:paraId="1B63A311" w14:textId="77777777" w:rsidR="00490F94" w:rsidRPr="00F80DD5" w:rsidRDefault="00490F94" w:rsidP="00490F94">
      <w:pPr>
        <w:spacing w:after="160" w:line="259" w:lineRule="auto"/>
        <w:jc w:val="left"/>
        <w:rPr>
          <w:noProof/>
          <w:sz w:val="22"/>
          <w:szCs w:val="22"/>
        </w:rPr>
      </w:pPr>
      <w:r w:rsidRPr="00F80DD5">
        <w:rPr>
          <w:noProof/>
          <w:sz w:val="22"/>
          <w:szCs w:val="22"/>
        </w:rPr>
        <w:t xml:space="preserve">Association of Magistrates of the Court of Auditors (2025), </w:t>
      </w:r>
      <w:r w:rsidRPr="002B3B0A">
        <w:rPr>
          <w:i/>
          <w:noProof/>
          <w:sz w:val="22"/>
          <w:szCs w:val="22"/>
        </w:rPr>
        <w:t>Open letter to president Giorgia Meloni on the reform of the Court of Auditors</w:t>
      </w:r>
      <w:r w:rsidRPr="00F80DD5">
        <w:rPr>
          <w:noProof/>
          <w:sz w:val="22"/>
          <w:szCs w:val="22"/>
        </w:rPr>
        <w:t xml:space="preserve">, 7 April 2025, </w:t>
      </w:r>
      <w:hyperlink r:id="rId28" w:history="1">
        <w:r w:rsidRPr="00F80DD5">
          <w:rPr>
            <w:rStyle w:val="Hyperlink"/>
            <w:noProof/>
            <w:sz w:val="22"/>
            <w:szCs w:val="22"/>
          </w:rPr>
          <w:t>https://www.amcorteconti.it/lettera-aperta-al-presidente-giorgia-meloni-sulla-riforma-della-corte-dei-conti/</w:t>
        </w:r>
      </w:hyperlink>
      <w:r w:rsidRPr="00F80DD5">
        <w:rPr>
          <w:noProof/>
          <w:sz w:val="22"/>
          <w:szCs w:val="22"/>
        </w:rPr>
        <w:t>.</w:t>
      </w:r>
    </w:p>
    <w:p w14:paraId="58738017" w14:textId="77777777" w:rsidR="00490F94" w:rsidRPr="00F80DD5" w:rsidRDefault="00490F94" w:rsidP="00490F94">
      <w:pPr>
        <w:spacing w:after="160" w:line="259" w:lineRule="auto"/>
        <w:jc w:val="left"/>
        <w:rPr>
          <w:noProof/>
          <w:sz w:val="22"/>
          <w:szCs w:val="22"/>
          <w:lang w:val="it-IT"/>
        </w:rPr>
      </w:pPr>
      <w:r w:rsidRPr="002B3B0A">
        <w:rPr>
          <w:noProof/>
          <w:sz w:val="22"/>
          <w:szCs w:val="22"/>
          <w:lang w:val="it-IT"/>
        </w:rPr>
        <w:t>Associazione Italiana Costituzionalisti</w:t>
      </w:r>
      <w:r w:rsidRPr="00F80DD5">
        <w:rPr>
          <w:noProof/>
          <w:sz w:val="22"/>
          <w:szCs w:val="22"/>
          <w:lang w:val="it-IT"/>
        </w:rPr>
        <w:t xml:space="preserve"> (2025), The security decree-law (</w:t>
      </w:r>
      <w:r w:rsidRPr="00F80DD5">
        <w:rPr>
          <w:i/>
          <w:iCs/>
          <w:noProof/>
          <w:sz w:val="22"/>
          <w:szCs w:val="22"/>
          <w:lang w:val="it-IT"/>
        </w:rPr>
        <w:t>Il decreto-legge sicurezza</w:t>
      </w:r>
      <w:r w:rsidRPr="00F80DD5">
        <w:rPr>
          <w:noProof/>
          <w:sz w:val="22"/>
          <w:szCs w:val="22"/>
          <w:lang w:val="it-IT"/>
        </w:rPr>
        <w:t xml:space="preserve">), La Lettera, Vol. 4/2025, </w:t>
      </w:r>
      <w:hyperlink r:id="rId29" w:history="1">
        <w:r w:rsidRPr="00F80DD5">
          <w:rPr>
            <w:rStyle w:val="Hyperlink"/>
            <w:noProof/>
            <w:sz w:val="22"/>
            <w:szCs w:val="22"/>
            <w:lang w:val="it-IT"/>
          </w:rPr>
          <w:t>https://www.associazionedeicostituzionalisti.it/it/la-lettera/04-2025-il-decreto-legge-sicurezza</w:t>
        </w:r>
      </w:hyperlink>
      <w:r w:rsidRPr="00F80DD5">
        <w:rPr>
          <w:noProof/>
          <w:sz w:val="22"/>
          <w:szCs w:val="22"/>
          <w:lang w:val="it-IT"/>
        </w:rPr>
        <w:t>.</w:t>
      </w:r>
    </w:p>
    <w:p w14:paraId="6205E60B" w14:textId="77777777" w:rsidR="00490F94" w:rsidRPr="00F80DD5" w:rsidRDefault="00490F94" w:rsidP="00490F94">
      <w:pPr>
        <w:spacing w:after="120"/>
        <w:rPr>
          <w:noProof/>
          <w:sz w:val="22"/>
          <w:szCs w:val="22"/>
          <w:lang w:eastAsia="en-GB"/>
        </w:rPr>
      </w:pPr>
      <w:r w:rsidRPr="00F80DD5">
        <w:rPr>
          <w:noProof/>
          <w:sz w:val="22"/>
          <w:szCs w:val="22"/>
        </w:rPr>
        <w:t xml:space="preserve">CEPEJ (2026), </w:t>
      </w:r>
      <w:r w:rsidRPr="00F80DD5">
        <w:rPr>
          <w:i/>
          <w:iCs/>
          <w:noProof/>
          <w:sz w:val="22"/>
          <w:szCs w:val="22"/>
        </w:rPr>
        <w:t>Study on the functioning of the judicial system in the EU Member States</w:t>
      </w:r>
      <w:r w:rsidRPr="00F80DD5">
        <w:rPr>
          <w:noProof/>
          <w:sz w:val="22"/>
          <w:szCs w:val="22"/>
        </w:rPr>
        <w:t>.</w:t>
      </w:r>
    </w:p>
    <w:p w14:paraId="17571F39" w14:textId="77777777" w:rsidR="00490F94" w:rsidRPr="00F80DD5" w:rsidRDefault="00490F94" w:rsidP="00490F94">
      <w:pPr>
        <w:spacing w:after="120"/>
        <w:rPr>
          <w:iCs/>
          <w:noProof/>
          <w:sz w:val="22"/>
          <w:szCs w:val="22"/>
        </w:rPr>
      </w:pPr>
      <w:r w:rsidRPr="00F80DD5">
        <w:rPr>
          <w:iCs/>
          <w:noProof/>
          <w:sz w:val="22"/>
          <w:szCs w:val="22"/>
        </w:rPr>
        <w:t xml:space="preserve">Chamber of Deputies, Draft law </w:t>
      </w:r>
      <w:hyperlink r:id="rId30" w:history="1">
        <w:r w:rsidRPr="00F80DD5">
          <w:rPr>
            <w:rStyle w:val="Hyperlink"/>
            <w:iCs/>
            <w:noProof/>
            <w:sz w:val="22"/>
            <w:szCs w:val="22"/>
          </w:rPr>
          <w:t>A.C. 2629</w:t>
        </w:r>
      </w:hyperlink>
      <w:r w:rsidRPr="00F80DD5">
        <w:rPr>
          <w:iCs/>
          <w:noProof/>
          <w:sz w:val="22"/>
          <w:szCs w:val="22"/>
        </w:rPr>
        <w:t xml:space="preserve"> to reform Law No. 247 of 2012.</w:t>
      </w:r>
    </w:p>
    <w:p w14:paraId="04557E6A" w14:textId="77777777" w:rsidR="00490F94" w:rsidRPr="00F80DD5" w:rsidRDefault="00490F94" w:rsidP="00490F94">
      <w:pPr>
        <w:spacing w:after="120"/>
        <w:rPr>
          <w:i/>
          <w:noProof/>
          <w:sz w:val="22"/>
          <w:szCs w:val="22"/>
          <w:lang w:val="it-IT"/>
        </w:rPr>
      </w:pPr>
      <w:r w:rsidRPr="00F80DD5">
        <w:rPr>
          <w:iCs/>
          <w:noProof/>
          <w:sz w:val="22"/>
          <w:szCs w:val="22"/>
          <w:lang w:val="it-IT"/>
        </w:rPr>
        <w:t>Chamber of Deputies, Draft law A.C. 2336 (</w:t>
      </w:r>
      <w:r w:rsidRPr="00F80DD5">
        <w:rPr>
          <w:i/>
          <w:noProof/>
          <w:sz w:val="22"/>
          <w:szCs w:val="22"/>
          <w:lang w:val="it-IT"/>
        </w:rPr>
        <w:t>Disciplina dell’attività di relazioni istituzionali per la rappresentanza di interessi</w:t>
      </w:r>
      <w:r w:rsidRPr="00F80DD5">
        <w:rPr>
          <w:iCs/>
          <w:noProof/>
          <w:sz w:val="22"/>
          <w:szCs w:val="22"/>
          <w:lang w:val="it-IT"/>
        </w:rPr>
        <w:t>).</w:t>
      </w:r>
    </w:p>
    <w:p w14:paraId="5EDF5E88" w14:textId="77777777" w:rsidR="00490F94" w:rsidRPr="00F80DD5" w:rsidRDefault="00490F94" w:rsidP="00490F94">
      <w:pPr>
        <w:spacing w:after="120"/>
        <w:rPr>
          <w:iCs/>
          <w:noProof/>
          <w:sz w:val="22"/>
          <w:szCs w:val="22"/>
        </w:rPr>
      </w:pPr>
      <w:r w:rsidRPr="00F80DD5">
        <w:rPr>
          <w:iCs/>
          <w:noProof/>
          <w:sz w:val="22"/>
          <w:szCs w:val="22"/>
          <w:lang w:val="en-IE"/>
        </w:rPr>
        <w:t xml:space="preserve">Chamber of Deputies, </w:t>
      </w:r>
      <w:r w:rsidRPr="00F80DD5">
        <w:rPr>
          <w:iCs/>
          <w:noProof/>
          <w:sz w:val="22"/>
          <w:szCs w:val="22"/>
        </w:rPr>
        <w:t xml:space="preserve">Draft Law </w:t>
      </w:r>
      <w:hyperlink r:id="rId31" w:history="1">
        <w:r w:rsidRPr="00F80DD5">
          <w:rPr>
            <w:rStyle w:val="Hyperlink"/>
            <w:iCs/>
            <w:noProof/>
            <w:sz w:val="22"/>
            <w:szCs w:val="22"/>
          </w:rPr>
          <w:t>A.C. 1921</w:t>
        </w:r>
      </w:hyperlink>
      <w:r w:rsidRPr="00F80DD5">
        <w:rPr>
          <w:iCs/>
          <w:noProof/>
          <w:sz w:val="22"/>
          <w:szCs w:val="22"/>
        </w:rPr>
        <w:t>.</w:t>
      </w:r>
    </w:p>
    <w:p w14:paraId="3A3A5FD3" w14:textId="77777777" w:rsidR="00490F94" w:rsidRPr="00F80DD5" w:rsidRDefault="00490F94" w:rsidP="00490F94">
      <w:pPr>
        <w:spacing w:after="120"/>
        <w:rPr>
          <w:iCs/>
          <w:noProof/>
          <w:sz w:val="22"/>
          <w:szCs w:val="22"/>
        </w:rPr>
      </w:pPr>
      <w:r w:rsidRPr="00F80DD5">
        <w:rPr>
          <w:iCs/>
          <w:noProof/>
          <w:sz w:val="22"/>
          <w:szCs w:val="22"/>
        </w:rPr>
        <w:t xml:space="preserve">Chamber of Deputies (2026a), </w:t>
      </w:r>
      <w:r w:rsidRPr="00F80DD5">
        <w:rPr>
          <w:i/>
          <w:noProof/>
          <w:sz w:val="22"/>
          <w:szCs w:val="22"/>
        </w:rPr>
        <w:t>Legislative output until 13 May 2026: numbers and features</w:t>
      </w:r>
      <w:r w:rsidRPr="00F80DD5">
        <w:rPr>
          <w:iCs/>
          <w:noProof/>
          <w:sz w:val="22"/>
          <w:szCs w:val="22"/>
        </w:rPr>
        <w:t xml:space="preserve">, </w:t>
      </w:r>
      <w:hyperlink r:id="rId32" w:history="1">
        <w:r w:rsidRPr="00F80DD5">
          <w:rPr>
            <w:rStyle w:val="Hyperlink"/>
            <w:iCs/>
            <w:noProof/>
            <w:sz w:val="22"/>
            <w:szCs w:val="22"/>
          </w:rPr>
          <w:t>https://www.camera.it/temiap/documentazione/temi/pdf/1354685.pdf</w:t>
        </w:r>
      </w:hyperlink>
      <w:r w:rsidRPr="00F80DD5">
        <w:rPr>
          <w:iCs/>
          <w:noProof/>
          <w:sz w:val="22"/>
          <w:szCs w:val="22"/>
        </w:rPr>
        <w:t xml:space="preserve">. </w:t>
      </w:r>
    </w:p>
    <w:p w14:paraId="6C7AE203" w14:textId="77777777" w:rsidR="00490F94" w:rsidRPr="00F80DD5" w:rsidRDefault="00490F94" w:rsidP="00490F94">
      <w:pPr>
        <w:spacing w:after="120"/>
        <w:rPr>
          <w:iCs/>
          <w:noProof/>
          <w:sz w:val="22"/>
          <w:szCs w:val="22"/>
          <w:highlight w:val="yellow"/>
          <w:lang w:val="en-IE"/>
        </w:rPr>
      </w:pPr>
      <w:r w:rsidRPr="00F80DD5">
        <w:rPr>
          <w:iCs/>
          <w:noProof/>
          <w:sz w:val="22"/>
          <w:szCs w:val="22"/>
        </w:rPr>
        <w:t xml:space="preserve">Chamber of Deputies (2026), </w:t>
      </w:r>
      <w:r w:rsidRPr="00F80DD5">
        <w:rPr>
          <w:i/>
          <w:noProof/>
          <w:sz w:val="22"/>
          <w:szCs w:val="22"/>
        </w:rPr>
        <w:t>Deliberation of 17 February 2026</w:t>
      </w:r>
      <w:r w:rsidRPr="00F80DD5">
        <w:rPr>
          <w:iCs/>
          <w:noProof/>
          <w:sz w:val="22"/>
          <w:szCs w:val="22"/>
        </w:rPr>
        <w:t xml:space="preserve">, </w:t>
      </w:r>
      <w:hyperlink r:id="rId33" w:history="1">
        <w:r w:rsidRPr="00F80DD5">
          <w:rPr>
            <w:rStyle w:val="Hyperlink"/>
            <w:iCs/>
            <w:noProof/>
            <w:sz w:val="22"/>
            <w:szCs w:val="22"/>
          </w:rPr>
          <w:t>https://www.gazzettaufficiale.it/eli/id/2026/02/26/26A00920/sg</w:t>
        </w:r>
      </w:hyperlink>
      <w:r w:rsidRPr="00F80DD5">
        <w:rPr>
          <w:iCs/>
          <w:noProof/>
          <w:sz w:val="22"/>
          <w:szCs w:val="22"/>
        </w:rPr>
        <w:t xml:space="preserve">. </w:t>
      </w:r>
    </w:p>
    <w:p w14:paraId="39A5C2E1" w14:textId="77777777" w:rsidR="00303BF6" w:rsidRPr="008D1BFF" w:rsidRDefault="00303BF6" w:rsidP="00303BF6">
      <w:pPr>
        <w:spacing w:after="120"/>
        <w:rPr>
          <w:noProof/>
          <w:sz w:val="22"/>
          <w:lang w:eastAsia="en-GB"/>
        </w:rPr>
      </w:pPr>
      <w:r w:rsidRPr="00D92D10">
        <w:rPr>
          <w:noProof/>
          <w:sz w:val="22"/>
          <w:lang w:eastAsia="en-GB"/>
        </w:rPr>
        <w:t>Civil Liberties</w:t>
      </w:r>
      <w:r w:rsidRPr="008D1BFF">
        <w:rPr>
          <w:noProof/>
          <w:sz w:val="22"/>
          <w:lang w:eastAsia="en-GB"/>
        </w:rPr>
        <w:t xml:space="preserve"> Union for Europe (2026), </w:t>
      </w:r>
      <w:r w:rsidRPr="008D1BFF">
        <w:rPr>
          <w:i/>
          <w:noProof/>
          <w:sz w:val="22"/>
        </w:rPr>
        <w:t>Contribution from Civil Liberties for the 2026 Rule of Law Report</w:t>
      </w:r>
      <w:r w:rsidRPr="008D1BFF">
        <w:rPr>
          <w:noProof/>
          <w:sz w:val="22"/>
          <w:lang w:eastAsia="en-GB"/>
        </w:rPr>
        <w:t>.</w:t>
      </w:r>
    </w:p>
    <w:p w14:paraId="413D8E6B" w14:textId="7E8C4BE5" w:rsidR="00490F94" w:rsidRPr="007C4638" w:rsidRDefault="00490F94" w:rsidP="00490F94">
      <w:pPr>
        <w:spacing w:after="120"/>
        <w:rPr>
          <w:noProof/>
          <w:sz w:val="22"/>
          <w:lang w:eastAsia="en-GB"/>
        </w:rPr>
      </w:pPr>
      <w:r w:rsidRPr="00D92D10">
        <w:rPr>
          <w:noProof/>
          <w:sz w:val="22"/>
          <w:lang w:eastAsia="en-GB"/>
        </w:rPr>
        <w:t>Civil Liberties</w:t>
      </w:r>
      <w:r w:rsidRPr="008D1BFF">
        <w:rPr>
          <w:noProof/>
          <w:sz w:val="22"/>
          <w:lang w:eastAsia="en-GB"/>
        </w:rPr>
        <w:t xml:space="preserve"> Union for Europe (2026a), </w:t>
      </w:r>
      <w:r w:rsidRPr="008D1BFF">
        <w:rPr>
          <w:i/>
          <w:noProof/>
          <w:sz w:val="22"/>
          <w:lang w:eastAsia="en-GB"/>
        </w:rPr>
        <w:t>Liberties Rule of Law Report</w:t>
      </w:r>
      <w:r w:rsidRPr="008D1BFF">
        <w:rPr>
          <w:noProof/>
          <w:sz w:val="22"/>
          <w:lang w:eastAsia="en-GB"/>
        </w:rPr>
        <w:t>, liberties.eu/f/wtaqoq</w:t>
      </w:r>
      <w:r w:rsidR="002761F9" w:rsidRPr="006536D8">
        <w:rPr>
          <w:noProof/>
          <w:sz w:val="22"/>
          <w:lang w:eastAsia="en-GB"/>
        </w:rPr>
        <w:t>.</w:t>
      </w:r>
    </w:p>
    <w:p w14:paraId="5893CFDC" w14:textId="77777777" w:rsidR="00490F94" w:rsidRPr="008D1BFF" w:rsidRDefault="00490F94" w:rsidP="00490F94">
      <w:pPr>
        <w:spacing w:after="120"/>
        <w:rPr>
          <w:noProof/>
          <w:sz w:val="22"/>
          <w:lang w:eastAsia="en-GB"/>
        </w:rPr>
      </w:pPr>
      <w:r w:rsidRPr="008D1BFF">
        <w:rPr>
          <w:noProof/>
          <w:sz w:val="22"/>
          <w:lang w:eastAsia="en-GB"/>
        </w:rPr>
        <w:t>Civil Society Europe (2026),</w:t>
      </w:r>
      <w:r w:rsidRPr="008D1BFF">
        <w:rPr>
          <w:i/>
          <w:noProof/>
          <w:sz w:val="22"/>
        </w:rPr>
        <w:t xml:space="preserve"> Contribution from Civil Society Europe for the 2026 Rule of Law Report</w:t>
      </w:r>
      <w:r w:rsidRPr="008D1BFF">
        <w:rPr>
          <w:noProof/>
          <w:sz w:val="22"/>
          <w:lang w:eastAsia="en-GB"/>
        </w:rPr>
        <w:t>.</w:t>
      </w:r>
    </w:p>
    <w:p w14:paraId="399A1D0A" w14:textId="77777777" w:rsidR="00490F94" w:rsidRPr="008D1BFF" w:rsidRDefault="00490F94" w:rsidP="00490F94">
      <w:pPr>
        <w:spacing w:after="120"/>
        <w:rPr>
          <w:noProof/>
          <w:sz w:val="22"/>
          <w:lang w:eastAsia="en-GB"/>
        </w:rPr>
      </w:pPr>
      <w:r w:rsidRPr="008D1BFF">
        <w:rPr>
          <w:noProof/>
          <w:sz w:val="22"/>
        </w:rPr>
        <w:t xml:space="preserve">Confindustria (2026), </w:t>
      </w:r>
      <w:r w:rsidRPr="008D1BFF">
        <w:rPr>
          <w:i/>
          <w:noProof/>
          <w:sz w:val="22"/>
        </w:rPr>
        <w:t>Contribution from Confindustria for the 2026 Rule of Law Report.</w:t>
      </w:r>
    </w:p>
    <w:p w14:paraId="6858D49C" w14:textId="77777777" w:rsidR="00490F94" w:rsidRPr="008D1BFF" w:rsidRDefault="00490F94" w:rsidP="00490F94">
      <w:pPr>
        <w:spacing w:after="120"/>
        <w:rPr>
          <w:noProof/>
          <w:sz w:val="22"/>
          <w:lang w:eastAsia="en-GB"/>
        </w:rPr>
      </w:pPr>
      <w:r w:rsidRPr="008D1BFF">
        <w:rPr>
          <w:noProof/>
          <w:sz w:val="22"/>
        </w:rPr>
        <w:t xml:space="preserve">COSPE (2026), </w:t>
      </w:r>
      <w:r w:rsidRPr="008D1BFF">
        <w:rPr>
          <w:i/>
          <w:noProof/>
          <w:sz w:val="22"/>
        </w:rPr>
        <w:t>Contribution from COSPE for the 2026 Rule of Law Report.</w:t>
      </w:r>
    </w:p>
    <w:p w14:paraId="32E1458E" w14:textId="77777777" w:rsidR="00490F94" w:rsidRPr="008D1BFF" w:rsidRDefault="00490F94" w:rsidP="00490F94">
      <w:pPr>
        <w:spacing w:after="160" w:line="259" w:lineRule="auto"/>
        <w:jc w:val="left"/>
        <w:rPr>
          <w:noProof/>
          <w:sz w:val="22"/>
        </w:rPr>
      </w:pPr>
      <w:r w:rsidRPr="008D1BFF">
        <w:rPr>
          <w:noProof/>
          <w:sz w:val="22"/>
        </w:rPr>
        <w:t>Constitutional Court, judgment</w:t>
      </w:r>
      <w:r w:rsidRPr="007C4638">
        <w:rPr>
          <w:noProof/>
          <w:sz w:val="22"/>
        </w:rPr>
        <w:t xml:space="preserve"> </w:t>
      </w:r>
      <w:r w:rsidRPr="008D1BFF">
        <w:rPr>
          <w:noProof/>
          <w:sz w:val="22"/>
        </w:rPr>
        <w:t>No. 185/2025 of 16 December 2025, ECLI:IT:COST:2025:185.</w:t>
      </w:r>
    </w:p>
    <w:p w14:paraId="07362D1C" w14:textId="77777777" w:rsidR="00490F94" w:rsidRPr="008D1BFF" w:rsidRDefault="00490F94" w:rsidP="00490F94">
      <w:pPr>
        <w:tabs>
          <w:tab w:val="left" w:pos="2760"/>
        </w:tabs>
        <w:spacing w:after="120"/>
        <w:rPr>
          <w:noProof/>
          <w:sz w:val="22"/>
        </w:rPr>
      </w:pPr>
      <w:r w:rsidRPr="008D1BFF">
        <w:rPr>
          <w:noProof/>
          <w:sz w:val="22"/>
        </w:rPr>
        <w:t>Consultative Council of European Judges</w:t>
      </w:r>
      <w:r>
        <w:rPr>
          <w:noProof/>
          <w:sz w:val="22"/>
        </w:rPr>
        <w:t xml:space="preserve">, </w:t>
      </w:r>
      <w:r w:rsidRPr="008D1BFF">
        <w:rPr>
          <w:noProof/>
          <w:sz w:val="22"/>
        </w:rPr>
        <w:t>CCJE</w:t>
      </w:r>
      <w:r>
        <w:rPr>
          <w:noProof/>
          <w:sz w:val="22"/>
        </w:rPr>
        <w:t xml:space="preserve"> (2007)</w:t>
      </w:r>
      <w:r w:rsidRPr="008D1BFF">
        <w:rPr>
          <w:noProof/>
          <w:sz w:val="22"/>
        </w:rPr>
        <w:t xml:space="preserve">, </w:t>
      </w:r>
      <w:r w:rsidRPr="00C30410">
        <w:rPr>
          <w:noProof/>
          <w:sz w:val="22"/>
        </w:rPr>
        <w:t xml:space="preserve">Opinion No. 10 </w:t>
      </w:r>
      <w:r>
        <w:rPr>
          <w:noProof/>
          <w:sz w:val="22"/>
        </w:rPr>
        <w:t xml:space="preserve">of </w:t>
      </w:r>
      <w:r w:rsidRPr="00C30410">
        <w:rPr>
          <w:noProof/>
          <w:sz w:val="22"/>
        </w:rPr>
        <w:t>2007</w:t>
      </w:r>
      <w:r>
        <w:rPr>
          <w:noProof/>
        </w:rPr>
        <w:t xml:space="preserve">, </w:t>
      </w:r>
      <w:hyperlink r:id="rId34" w:history="1">
        <w:r w:rsidRPr="00223270">
          <w:rPr>
            <w:rStyle w:val="Hyperlink"/>
            <w:noProof/>
          </w:rPr>
          <w:t>https://rm.coe.int/168074779b</w:t>
        </w:r>
      </w:hyperlink>
      <w:r>
        <w:rPr>
          <w:noProof/>
        </w:rPr>
        <w:t xml:space="preserve">. </w:t>
      </w:r>
    </w:p>
    <w:p w14:paraId="446D3A74" w14:textId="77777777" w:rsidR="00490F94" w:rsidRPr="008D1BFF" w:rsidRDefault="00490F94" w:rsidP="00490F94">
      <w:pPr>
        <w:spacing w:after="120"/>
        <w:rPr>
          <w:noProof/>
          <w:sz w:val="22"/>
        </w:rPr>
      </w:pPr>
      <w:r w:rsidRPr="008D1BFF">
        <w:rPr>
          <w:noProof/>
          <w:sz w:val="22"/>
        </w:rPr>
        <w:t>Consultative Council of European Judges</w:t>
      </w:r>
      <w:r>
        <w:rPr>
          <w:noProof/>
          <w:sz w:val="22"/>
        </w:rPr>
        <w:t xml:space="preserve">, </w:t>
      </w:r>
      <w:r w:rsidRPr="008D1BFF">
        <w:rPr>
          <w:noProof/>
          <w:sz w:val="22"/>
        </w:rPr>
        <w:t xml:space="preserve">CCJE; </w:t>
      </w:r>
      <w:r w:rsidRPr="00C30410">
        <w:rPr>
          <w:noProof/>
          <w:sz w:val="22"/>
        </w:rPr>
        <w:t>Opinion No. 24 of 2021</w:t>
      </w:r>
      <w:r>
        <w:rPr>
          <w:noProof/>
        </w:rPr>
        <w:t xml:space="preserve">, </w:t>
      </w:r>
      <w:hyperlink r:id="rId35" w:history="1">
        <w:r w:rsidRPr="00223270">
          <w:rPr>
            <w:rStyle w:val="Hyperlink"/>
            <w:noProof/>
          </w:rPr>
          <w:t>https://rm.coe.int/opinion-no-24-2021-of-the-ccje/1680a47604</w:t>
        </w:r>
      </w:hyperlink>
      <w:r>
        <w:rPr>
          <w:noProof/>
        </w:rPr>
        <w:t>.</w:t>
      </w:r>
    </w:p>
    <w:p w14:paraId="2D683F38" w14:textId="77777777" w:rsidR="00490F94" w:rsidRPr="008D1BFF" w:rsidRDefault="00490F94" w:rsidP="00490F94">
      <w:pPr>
        <w:spacing w:after="120"/>
        <w:rPr>
          <w:i/>
          <w:noProof/>
          <w:sz w:val="22"/>
        </w:rPr>
      </w:pPr>
      <w:r w:rsidRPr="0056271D">
        <w:rPr>
          <w:noProof/>
          <w:sz w:val="22"/>
          <w:lang w:val="en-IE" w:eastAsia="en-GB"/>
        </w:rPr>
        <w:t>Council of Bars and Law Societies of Europe</w:t>
      </w:r>
      <w:r>
        <w:rPr>
          <w:noProof/>
          <w:sz w:val="22"/>
          <w:lang w:val="en-IE" w:eastAsia="en-GB"/>
        </w:rPr>
        <w:t xml:space="preserve">, </w:t>
      </w:r>
      <w:r w:rsidRPr="0056271D">
        <w:rPr>
          <w:noProof/>
          <w:sz w:val="22"/>
        </w:rPr>
        <w:t xml:space="preserve">CCBE (2026), </w:t>
      </w:r>
      <w:r w:rsidRPr="0056271D">
        <w:rPr>
          <w:i/>
          <w:noProof/>
          <w:sz w:val="22"/>
        </w:rPr>
        <w:t>Contribution from CCBE for the 2026 Rule of Law Report.</w:t>
      </w:r>
    </w:p>
    <w:p w14:paraId="134E2156" w14:textId="77777777" w:rsidR="00490F94" w:rsidRPr="008D1BFF" w:rsidRDefault="00490F94" w:rsidP="00490F94">
      <w:pPr>
        <w:spacing w:after="120"/>
        <w:rPr>
          <w:noProof/>
          <w:sz w:val="22"/>
        </w:rPr>
      </w:pPr>
      <w:r w:rsidRPr="008D1BFF">
        <w:rPr>
          <w:noProof/>
          <w:sz w:val="22"/>
        </w:rPr>
        <w:t xml:space="preserve">Council of Europe Commissioner for Human Rights (2026), Letter to the Presidents of the Senate and Chamber of Deputies of Italy, 4 March 2026, </w:t>
      </w:r>
      <w:hyperlink r:id="rId36" w:history="1">
        <w:r w:rsidRPr="00223270">
          <w:rPr>
            <w:rStyle w:val="Hyperlink"/>
            <w:noProof/>
            <w:sz w:val="22"/>
          </w:rPr>
          <w:t>https://rm.coe.int/letter-to-the-presidents-of-the-italian-senate-and-chamber-of-deputies/48802acdc9</w:t>
        </w:r>
      </w:hyperlink>
      <w:r w:rsidRPr="008D1BFF">
        <w:rPr>
          <w:noProof/>
          <w:sz w:val="22"/>
        </w:rPr>
        <w:t>.</w:t>
      </w:r>
    </w:p>
    <w:p w14:paraId="1795980D" w14:textId="71B1245D" w:rsidR="003138D7" w:rsidRPr="00376727" w:rsidRDefault="003138D7" w:rsidP="003138D7">
      <w:pPr>
        <w:spacing w:after="120"/>
        <w:rPr>
          <w:rFonts w:eastAsiaTheme="minorHAnsi"/>
          <w:noProof/>
          <w:sz w:val="22"/>
          <w:szCs w:val="22"/>
          <w:lang w:val="en-IE" w:eastAsia="en-US"/>
        </w:rPr>
      </w:pPr>
      <w:r w:rsidRPr="00376727">
        <w:rPr>
          <w:rFonts w:eastAsiaTheme="minorHAnsi"/>
          <w:noProof/>
          <w:sz w:val="22"/>
          <w:szCs w:val="22"/>
          <w:lang w:eastAsia="en-US"/>
        </w:rPr>
        <w:t>Council of Europe (2026), </w:t>
      </w:r>
      <w:r w:rsidRPr="00376727">
        <w:rPr>
          <w:rFonts w:eastAsiaTheme="minorHAnsi"/>
          <w:i/>
          <w:iCs/>
          <w:noProof/>
          <w:sz w:val="22"/>
          <w:szCs w:val="22"/>
          <w:lang w:eastAsia="en-US"/>
        </w:rPr>
        <w:t>Supervision of the execution of judgments decisions of the European Court of Human Rights – 19th Annual Report of the Committee of Ministers – 2025,</w:t>
      </w:r>
      <w:r w:rsidRPr="00376727">
        <w:rPr>
          <w:rFonts w:eastAsiaTheme="minorHAnsi"/>
          <w:noProof/>
          <w:sz w:val="22"/>
          <w:szCs w:val="22"/>
          <w:lang w:eastAsia="en-US"/>
        </w:rPr>
        <w:t> </w:t>
      </w:r>
      <w:hyperlink r:id="rId37" w:tgtFrame="_blank" w:history="1">
        <w:r w:rsidRPr="00376727">
          <w:rPr>
            <w:rStyle w:val="Hyperlink"/>
            <w:rFonts w:eastAsiaTheme="minorHAnsi"/>
            <w:noProof/>
            <w:sz w:val="22"/>
            <w:szCs w:val="22"/>
            <w:lang w:val="en-IE" w:eastAsia="en-US"/>
          </w:rPr>
          <w:t>https://rm.coe.int/2025-annual-report/48802b1633</w:t>
        </w:r>
      </w:hyperlink>
      <w:r w:rsidRPr="00376727">
        <w:rPr>
          <w:rFonts w:eastAsiaTheme="minorHAnsi"/>
          <w:noProof/>
          <w:sz w:val="22"/>
          <w:szCs w:val="22"/>
          <w:lang w:val="en-IE" w:eastAsia="en-US"/>
        </w:rPr>
        <w:t>.  </w:t>
      </w:r>
    </w:p>
    <w:p w14:paraId="3761997D" w14:textId="1A245C60" w:rsidR="00490F94" w:rsidRPr="008D1BFF" w:rsidRDefault="00490F94" w:rsidP="00490F94">
      <w:pPr>
        <w:spacing w:after="120"/>
        <w:rPr>
          <w:noProof/>
          <w:sz w:val="22"/>
        </w:rPr>
      </w:pPr>
      <w:r w:rsidRPr="008D1BFF">
        <w:rPr>
          <w:noProof/>
          <w:sz w:val="22"/>
        </w:rPr>
        <w:t xml:space="preserve">Council of Europe (2010), </w:t>
      </w:r>
      <w:r w:rsidRPr="007C4638">
        <w:rPr>
          <w:i/>
          <w:iCs/>
          <w:noProof/>
          <w:sz w:val="22"/>
        </w:rPr>
        <w:t>Recommendation of the Committee of Ministers to member states on judges: independence, efficiency and responsibilities</w:t>
      </w:r>
      <w:r w:rsidRPr="008D1BFF">
        <w:rPr>
          <w:noProof/>
          <w:sz w:val="22"/>
        </w:rPr>
        <w:t xml:space="preserve">, 17 November 2010, </w:t>
      </w:r>
      <w:r w:rsidRPr="00C30410">
        <w:rPr>
          <w:noProof/>
          <w:sz w:val="22"/>
        </w:rPr>
        <w:t>CM/Rec(2010)12</w:t>
      </w:r>
      <w:r>
        <w:rPr>
          <w:noProof/>
        </w:rPr>
        <w:t xml:space="preserve">, </w:t>
      </w:r>
      <w:hyperlink r:id="rId38" w:anchor="{%22CoEIdentifier%22:[%2209000016805afb78%22],%22sort%22:[%22CoEValidationDate%20Descending%22]}" w:history="1">
        <w:r w:rsidRPr="002B3B0A">
          <w:rPr>
            <w:rStyle w:val="Hyperlink"/>
            <w:noProof/>
            <w:sz w:val="22"/>
            <w:szCs w:val="22"/>
          </w:rPr>
          <w:t>https://search.coe.int/cm#{%22CoEIdentifier%22:[%2209000016805afb78%22],%22sort%22:[%22CoEValidationDate%20Descending%22]}</w:t>
        </w:r>
      </w:hyperlink>
      <w:r w:rsidRPr="00C8767C">
        <w:rPr>
          <w:noProof/>
          <w:sz w:val="22"/>
          <w:szCs w:val="22"/>
        </w:rPr>
        <w:t>.</w:t>
      </w:r>
    </w:p>
    <w:p w14:paraId="364A218F" w14:textId="77777777" w:rsidR="00490F94" w:rsidRPr="008D1BFF" w:rsidRDefault="00490F94" w:rsidP="00490F94">
      <w:pPr>
        <w:spacing w:after="120"/>
        <w:rPr>
          <w:noProof/>
          <w:sz w:val="22"/>
        </w:rPr>
      </w:pPr>
      <w:r w:rsidRPr="008D1BFF">
        <w:rPr>
          <w:noProof/>
          <w:sz w:val="22"/>
        </w:rPr>
        <w:t>Council of Ministers (2026), Draft law on security measures</w:t>
      </w:r>
      <w:r>
        <w:rPr>
          <w:noProof/>
          <w:sz w:val="22"/>
        </w:rPr>
        <w:t xml:space="preserve"> et al</w:t>
      </w:r>
      <w:r w:rsidRPr="008D1BFF">
        <w:rPr>
          <w:noProof/>
          <w:sz w:val="22"/>
        </w:rPr>
        <w:t xml:space="preserve">, press release of 5 February 2026, </w:t>
      </w:r>
      <w:hyperlink r:id="rId39" w:history="1">
        <w:r w:rsidRPr="00223270">
          <w:rPr>
            <w:rStyle w:val="Hyperlink"/>
            <w:noProof/>
            <w:sz w:val="22"/>
          </w:rPr>
          <w:t>https://www.governo.it/it/articolo/comunicato-stampa-del-consiglio-dei-ministri-n-159/31034</w:t>
        </w:r>
      </w:hyperlink>
      <w:r w:rsidRPr="008D1BFF">
        <w:rPr>
          <w:noProof/>
          <w:sz w:val="22"/>
        </w:rPr>
        <w:t>.</w:t>
      </w:r>
      <w:r>
        <w:rPr>
          <w:noProof/>
          <w:sz w:val="22"/>
        </w:rPr>
        <w:t xml:space="preserve"> </w:t>
      </w:r>
    </w:p>
    <w:p w14:paraId="54F639EC" w14:textId="77777777" w:rsidR="00490F94" w:rsidRDefault="00490F94" w:rsidP="00490F94">
      <w:pPr>
        <w:spacing w:after="120"/>
        <w:rPr>
          <w:noProof/>
          <w:sz w:val="22"/>
        </w:rPr>
      </w:pPr>
      <w:r w:rsidRPr="008D1BFF">
        <w:rPr>
          <w:noProof/>
          <w:sz w:val="22"/>
        </w:rPr>
        <w:t xml:space="preserve">Court of Auditors (2026), </w:t>
      </w:r>
      <w:r w:rsidRPr="008D1BFF">
        <w:rPr>
          <w:i/>
          <w:iCs/>
          <w:noProof/>
          <w:sz w:val="22"/>
        </w:rPr>
        <w:t>Annual Report 2025</w:t>
      </w:r>
      <w:r w:rsidRPr="008D1BFF">
        <w:rPr>
          <w:noProof/>
          <w:sz w:val="22"/>
        </w:rPr>
        <w:t>,</w:t>
      </w:r>
      <w:r w:rsidRPr="00C30410">
        <w:rPr>
          <w:noProof/>
        </w:rPr>
        <w:t xml:space="preserve"> </w:t>
      </w:r>
      <w:hyperlink r:id="rId40" w:history="1">
        <w:r w:rsidRPr="00223270">
          <w:rPr>
            <w:rStyle w:val="Hyperlink"/>
            <w:noProof/>
            <w:sz w:val="22"/>
          </w:rPr>
          <w:t>https://www.corteconti.it/Download?id=c953a7e4-493f-41d1-8fe3-fac8534fb39c</w:t>
        </w:r>
      </w:hyperlink>
      <w:r>
        <w:rPr>
          <w:noProof/>
          <w:sz w:val="22"/>
        </w:rPr>
        <w:t>.</w:t>
      </w:r>
    </w:p>
    <w:p w14:paraId="0518FDD0" w14:textId="393763AC" w:rsidR="00490F94" w:rsidRPr="008D1BFF" w:rsidRDefault="00490F94" w:rsidP="00490F94">
      <w:pPr>
        <w:spacing w:after="120"/>
        <w:rPr>
          <w:noProof/>
          <w:sz w:val="22"/>
        </w:rPr>
      </w:pPr>
      <w:r w:rsidRPr="008D1BFF">
        <w:rPr>
          <w:noProof/>
          <w:color w:val="000000" w:themeColor="text1"/>
          <w:sz w:val="22"/>
        </w:rPr>
        <w:t xml:space="preserve">Court of Cassation, First President (2026), </w:t>
      </w:r>
      <w:r w:rsidRPr="008D1BFF">
        <w:rPr>
          <w:i/>
          <w:iCs/>
          <w:noProof/>
          <w:color w:val="000000" w:themeColor="text1"/>
          <w:sz w:val="22"/>
        </w:rPr>
        <w:t xml:space="preserve">Speech </w:t>
      </w:r>
      <w:r w:rsidRPr="008D1BFF">
        <w:rPr>
          <w:i/>
          <w:iCs/>
          <w:noProof/>
          <w:sz w:val="22"/>
        </w:rPr>
        <w:t>for the opening of the judicial year</w:t>
      </w:r>
      <w:r w:rsidRPr="008D1BFF">
        <w:rPr>
          <w:noProof/>
          <w:sz w:val="22"/>
        </w:rPr>
        <w:t xml:space="preserve">, 30 January 2026, </w:t>
      </w:r>
      <w:hyperlink r:id="rId41" w:history="1">
        <w:r w:rsidR="005B6AE0" w:rsidRPr="00CE3476">
          <w:rPr>
            <w:rStyle w:val="Hyperlink"/>
            <w:noProof/>
            <w:sz w:val="22"/>
          </w:rPr>
          <w:t>https://www.cortedicassazione.it/resources/cms/documents/Discorso_Primo_Presidente_2026.pdf</w:t>
        </w:r>
      </w:hyperlink>
      <w:r>
        <w:rPr>
          <w:noProof/>
          <w:sz w:val="22"/>
        </w:rPr>
        <w:t xml:space="preserve">. </w:t>
      </w:r>
    </w:p>
    <w:p w14:paraId="2ACDB755" w14:textId="660CDDFC" w:rsidR="00490F94" w:rsidRPr="008D1BFF" w:rsidRDefault="00490F94" w:rsidP="00490F94">
      <w:pPr>
        <w:spacing w:after="120"/>
        <w:rPr>
          <w:noProof/>
          <w:color w:val="000000" w:themeColor="text1"/>
          <w:sz w:val="22"/>
        </w:rPr>
      </w:pPr>
      <w:r w:rsidRPr="008D1BFF">
        <w:rPr>
          <w:noProof/>
          <w:color w:val="000000" w:themeColor="text1"/>
          <w:sz w:val="22"/>
        </w:rPr>
        <w:t xml:space="preserve">Court of Cassation, General Prosecutor (2026), </w:t>
      </w:r>
      <w:r w:rsidRPr="008D1BFF">
        <w:rPr>
          <w:i/>
          <w:iCs/>
          <w:noProof/>
          <w:color w:val="000000" w:themeColor="text1"/>
          <w:sz w:val="22"/>
        </w:rPr>
        <w:t xml:space="preserve">Speech </w:t>
      </w:r>
      <w:r w:rsidRPr="008D1BFF">
        <w:rPr>
          <w:i/>
          <w:iCs/>
          <w:noProof/>
          <w:sz w:val="22"/>
        </w:rPr>
        <w:t>for the opening of the judicial year</w:t>
      </w:r>
      <w:r w:rsidRPr="008D1BFF">
        <w:rPr>
          <w:noProof/>
          <w:sz w:val="22"/>
        </w:rPr>
        <w:t>, 30 January 2026,</w:t>
      </w:r>
      <w:r w:rsidRPr="00C30410">
        <w:rPr>
          <w:noProof/>
        </w:rPr>
        <w:t xml:space="preserve"> </w:t>
      </w:r>
      <w:hyperlink r:id="rId42" w:history="1">
        <w:r w:rsidR="00EE257F" w:rsidRPr="00CE3476">
          <w:rPr>
            <w:rStyle w:val="Hyperlink"/>
            <w:noProof/>
            <w:sz w:val="22"/>
          </w:rPr>
          <w:t>https://www.cortedicassazione.it/resources/cms/documents/Discorso_Procuratore_Generale_2026.pdf</w:t>
        </w:r>
      </w:hyperlink>
      <w:r>
        <w:rPr>
          <w:noProof/>
          <w:sz w:val="22"/>
        </w:rPr>
        <w:t xml:space="preserve">. </w:t>
      </w:r>
      <w:r w:rsidRPr="008D1BFF">
        <w:rPr>
          <w:noProof/>
          <w:sz w:val="22"/>
        </w:rPr>
        <w:t xml:space="preserve"> </w:t>
      </w:r>
    </w:p>
    <w:p w14:paraId="30FEF625" w14:textId="77777777" w:rsidR="00490F94" w:rsidRPr="00D71250" w:rsidRDefault="00490F94" w:rsidP="00490F94">
      <w:pPr>
        <w:spacing w:after="120"/>
        <w:rPr>
          <w:noProof/>
          <w:sz w:val="22"/>
          <w:lang w:val="it-IT"/>
        </w:rPr>
      </w:pPr>
      <w:r w:rsidRPr="00D71250">
        <w:rPr>
          <w:noProof/>
          <w:sz w:val="22"/>
          <w:lang w:val="it-IT"/>
        </w:rPr>
        <w:t xml:space="preserve">Court of Cassation, </w:t>
      </w:r>
      <w:r w:rsidRPr="00D71250">
        <w:rPr>
          <w:i/>
          <w:iCs/>
          <w:noProof/>
          <w:sz w:val="22"/>
          <w:lang w:val="it-IT"/>
        </w:rPr>
        <w:t>Ufficio del Massimario e del Ruolo</w:t>
      </w:r>
      <w:r w:rsidRPr="00D71250">
        <w:rPr>
          <w:noProof/>
          <w:sz w:val="22"/>
          <w:lang w:val="it-IT"/>
        </w:rPr>
        <w:t xml:space="preserve"> (2026), </w:t>
      </w:r>
      <w:r w:rsidRPr="00D71250">
        <w:rPr>
          <w:i/>
          <w:iCs/>
          <w:noProof/>
          <w:sz w:val="22"/>
          <w:lang w:val="it-IT"/>
        </w:rPr>
        <w:t xml:space="preserve">Report No. </w:t>
      </w:r>
      <w:r w:rsidRPr="00D71250">
        <w:rPr>
          <w:i/>
          <w:noProof/>
          <w:sz w:val="22"/>
          <w:lang w:val="it-IT"/>
        </w:rPr>
        <w:t>39 of 2026</w:t>
      </w:r>
      <w:r w:rsidRPr="00D71250">
        <w:rPr>
          <w:noProof/>
          <w:sz w:val="22"/>
          <w:lang w:val="it-IT"/>
        </w:rPr>
        <w:t xml:space="preserve">, </w:t>
      </w:r>
      <w:r w:rsidRPr="00DC0F63">
        <w:rPr>
          <w:noProof/>
          <w:sz w:val="22"/>
          <w:lang w:val="it-IT"/>
        </w:rPr>
        <w:t xml:space="preserve"> </w:t>
      </w:r>
      <w:hyperlink r:id="rId43" w:history="1">
        <w:r w:rsidRPr="00D71250">
          <w:rPr>
            <w:rStyle w:val="Hyperlink"/>
            <w:noProof/>
            <w:sz w:val="22"/>
            <w:lang w:val="it-IT"/>
          </w:rPr>
          <w:t>https://www.cortedicassazione.it/resources/cms/documents/Rel.392026.pdf</w:t>
        </w:r>
      </w:hyperlink>
      <w:r w:rsidRPr="00D71250">
        <w:rPr>
          <w:noProof/>
          <w:sz w:val="22"/>
          <w:lang w:val="it-IT"/>
        </w:rPr>
        <w:t xml:space="preserve">. </w:t>
      </w:r>
    </w:p>
    <w:p w14:paraId="4035C11C" w14:textId="77777777" w:rsidR="00490F94" w:rsidRPr="008D1BFF" w:rsidRDefault="00490F94" w:rsidP="00490F94">
      <w:pPr>
        <w:spacing w:after="120"/>
        <w:rPr>
          <w:noProof/>
          <w:color w:val="000000" w:themeColor="text1"/>
          <w:sz w:val="22"/>
          <w:u w:val="single"/>
        </w:rPr>
      </w:pPr>
      <w:r w:rsidRPr="008D1BFF">
        <w:rPr>
          <w:noProof/>
          <w:sz w:val="22"/>
        </w:rPr>
        <w:t xml:space="preserve">Court of Cassation (2026a), </w:t>
      </w:r>
      <w:r w:rsidRPr="007C4638">
        <w:rPr>
          <w:i/>
          <w:iCs/>
          <w:noProof/>
          <w:sz w:val="22"/>
        </w:rPr>
        <w:t>Annual Report 2025</w:t>
      </w:r>
      <w:r w:rsidRPr="008D1BFF">
        <w:rPr>
          <w:noProof/>
          <w:sz w:val="22"/>
        </w:rPr>
        <w:t xml:space="preserve">, </w:t>
      </w:r>
      <w:hyperlink r:id="rId44" w:history="1">
        <w:r w:rsidRPr="002663F2">
          <w:rPr>
            <w:rStyle w:val="Hyperlink"/>
            <w:noProof/>
            <w:sz w:val="22"/>
          </w:rPr>
          <w:t>https://www.cortedicassazione.it/resources/cms/documents/Relazione_Cassazione_2026.pdf</w:t>
        </w:r>
      </w:hyperlink>
      <w:r>
        <w:rPr>
          <w:noProof/>
          <w:sz w:val="22"/>
        </w:rPr>
        <w:t xml:space="preserve">. </w:t>
      </w:r>
    </w:p>
    <w:p w14:paraId="693E1694" w14:textId="77777777" w:rsidR="00490F94" w:rsidRPr="008D1BFF" w:rsidRDefault="00490F94" w:rsidP="00490F94">
      <w:pPr>
        <w:spacing w:after="120"/>
        <w:rPr>
          <w:noProof/>
          <w:sz w:val="22"/>
          <w:lang w:eastAsia="en-GB"/>
        </w:rPr>
      </w:pPr>
      <w:r w:rsidRPr="008D1BFF">
        <w:rPr>
          <w:noProof/>
          <w:sz w:val="22"/>
        </w:rPr>
        <w:t xml:space="preserve">Court of Cassation (2026), </w:t>
      </w:r>
      <w:r w:rsidRPr="008D1BFF">
        <w:rPr>
          <w:i/>
          <w:noProof/>
          <w:sz w:val="22"/>
        </w:rPr>
        <w:t>Contribution from the</w:t>
      </w:r>
      <w:r w:rsidRPr="007C4638">
        <w:rPr>
          <w:noProof/>
          <w:sz w:val="22"/>
        </w:rPr>
        <w:t xml:space="preserve"> </w:t>
      </w:r>
      <w:r w:rsidRPr="008D1BFF">
        <w:rPr>
          <w:i/>
          <w:noProof/>
          <w:sz w:val="22"/>
        </w:rPr>
        <w:t>Court of Cassation for the 2026 Rule of Law Report.</w:t>
      </w:r>
    </w:p>
    <w:p w14:paraId="0DF50994" w14:textId="77777777" w:rsidR="00490F94" w:rsidRPr="008D1BFF" w:rsidRDefault="00490F94" w:rsidP="00490F94">
      <w:pPr>
        <w:spacing w:after="120"/>
        <w:rPr>
          <w:noProof/>
          <w:color w:val="000000" w:themeColor="text1"/>
          <w:sz w:val="22"/>
        </w:rPr>
      </w:pPr>
      <w:r w:rsidRPr="008D1BFF">
        <w:rPr>
          <w:noProof/>
          <w:color w:val="000000" w:themeColor="text1"/>
          <w:sz w:val="22"/>
        </w:rPr>
        <w:t xml:space="preserve">Court of Cassation (2025), </w:t>
      </w:r>
      <w:r w:rsidRPr="007C4638">
        <w:rPr>
          <w:i/>
          <w:iCs/>
          <w:noProof/>
          <w:color w:val="000000" w:themeColor="text1"/>
          <w:sz w:val="22"/>
        </w:rPr>
        <w:t xml:space="preserve">Concluding document </w:t>
      </w:r>
      <w:r>
        <w:rPr>
          <w:i/>
          <w:iCs/>
          <w:noProof/>
          <w:color w:val="000000" w:themeColor="text1"/>
          <w:sz w:val="22"/>
        </w:rPr>
        <w:t>adopted by</w:t>
      </w:r>
      <w:r w:rsidRPr="007C4638">
        <w:rPr>
          <w:i/>
          <w:iCs/>
          <w:noProof/>
          <w:color w:val="000000" w:themeColor="text1"/>
          <w:sz w:val="22"/>
        </w:rPr>
        <w:t xml:space="preserve"> the General Assembly of 19 June 2025</w:t>
      </w:r>
      <w:r w:rsidRPr="008D1BFF">
        <w:rPr>
          <w:noProof/>
          <w:color w:val="000000" w:themeColor="text1"/>
          <w:sz w:val="22"/>
        </w:rPr>
        <w:t xml:space="preserve">, </w:t>
      </w:r>
      <w:hyperlink r:id="rId45" w:history="1">
        <w:r w:rsidRPr="00223270">
          <w:rPr>
            <w:rStyle w:val="Hyperlink"/>
            <w:noProof/>
            <w:sz w:val="22"/>
          </w:rPr>
          <w:t>https://www.cortedicassazione.it/resources/cms/documents/Documento_approvato_dallAssemblea_Generale_del_19_giugno_2025.pdf</w:t>
        </w:r>
      </w:hyperlink>
      <w:r w:rsidRPr="008D1BFF">
        <w:rPr>
          <w:noProof/>
          <w:color w:val="000000" w:themeColor="text1"/>
          <w:sz w:val="22"/>
        </w:rPr>
        <w:t>.</w:t>
      </w:r>
    </w:p>
    <w:p w14:paraId="0C7D3621" w14:textId="77777777" w:rsidR="00490F94" w:rsidRPr="008D1BFF" w:rsidRDefault="00490F94" w:rsidP="00490F94">
      <w:pPr>
        <w:spacing w:after="120"/>
        <w:rPr>
          <w:noProof/>
          <w:sz w:val="22"/>
        </w:rPr>
      </w:pPr>
      <w:r w:rsidRPr="008D1BFF">
        <w:rPr>
          <w:noProof/>
          <w:sz w:val="22"/>
        </w:rPr>
        <w:t xml:space="preserve">Dem.e.tra (2026), </w:t>
      </w:r>
      <w:r w:rsidRPr="008D1BFF">
        <w:rPr>
          <w:i/>
          <w:noProof/>
          <w:sz w:val="22"/>
        </w:rPr>
        <w:t>Contribution from Dem.e.tra for the 2026 Rule of Law Report</w:t>
      </w:r>
      <w:r w:rsidRPr="008D1BFF">
        <w:rPr>
          <w:noProof/>
          <w:sz w:val="22"/>
        </w:rPr>
        <w:t>.</w:t>
      </w:r>
    </w:p>
    <w:p w14:paraId="3A924EC7" w14:textId="1016FCA3" w:rsidR="00490F94" w:rsidRPr="008D1BFF" w:rsidRDefault="00490F94" w:rsidP="00490F94">
      <w:pPr>
        <w:spacing w:after="120"/>
        <w:rPr>
          <w:noProof/>
          <w:sz w:val="22"/>
        </w:rPr>
      </w:pPr>
      <w:r w:rsidRPr="008D1BFF">
        <w:rPr>
          <w:noProof/>
          <w:sz w:val="22"/>
        </w:rPr>
        <w:t xml:space="preserve">European Centre for Press and Media Freedom (ECPMF), </w:t>
      </w:r>
      <w:r w:rsidRPr="008D1BFF">
        <w:rPr>
          <w:i/>
          <w:noProof/>
          <w:sz w:val="22"/>
        </w:rPr>
        <w:t xml:space="preserve">Mapping Media Freedom, </w:t>
      </w:r>
      <w:r w:rsidRPr="007C4638">
        <w:rPr>
          <w:iCs/>
          <w:noProof/>
          <w:sz w:val="22"/>
        </w:rPr>
        <w:t>Italy country profile,</w:t>
      </w:r>
      <w:r w:rsidRPr="008D1BFF">
        <w:rPr>
          <w:i/>
          <w:noProof/>
          <w:sz w:val="22"/>
        </w:rPr>
        <w:t xml:space="preserve"> </w:t>
      </w:r>
      <w:hyperlink r:id="rId46" w:history="1">
        <w:r w:rsidRPr="008D1BFF">
          <w:rPr>
            <w:noProof/>
            <w:color w:val="0563C1" w:themeColor="hyperlink"/>
            <w:sz w:val="22"/>
            <w:u w:val="single"/>
          </w:rPr>
          <w:t>https://www.mappingmediafreedom.org/category/italy/</w:t>
        </w:r>
      </w:hyperlink>
      <w:r w:rsidR="005007B8" w:rsidRPr="006536D8">
        <w:rPr>
          <w:noProof/>
          <w:sz w:val="22"/>
          <w:lang w:eastAsia="en-GB"/>
        </w:rPr>
        <w:t>.</w:t>
      </w:r>
    </w:p>
    <w:p w14:paraId="19E50A60" w14:textId="77777777" w:rsidR="00490F94" w:rsidRPr="008D1BFF" w:rsidRDefault="00490F94" w:rsidP="00490F94">
      <w:pPr>
        <w:spacing w:after="120"/>
        <w:rPr>
          <w:noProof/>
          <w:sz w:val="22"/>
        </w:rPr>
      </w:pPr>
      <w:r w:rsidRPr="008D1BFF">
        <w:rPr>
          <w:noProof/>
          <w:sz w:val="22"/>
        </w:rPr>
        <w:t xml:space="preserve">European Commission (2025), </w:t>
      </w:r>
      <w:r w:rsidRPr="008D1BFF">
        <w:rPr>
          <w:i/>
          <w:noProof/>
          <w:sz w:val="22"/>
        </w:rPr>
        <w:t>2025 Rule of Law Report, Country Chapter on the rule of law situation in Italy</w:t>
      </w:r>
      <w:r w:rsidRPr="008D1BFF">
        <w:rPr>
          <w:noProof/>
          <w:sz w:val="22"/>
        </w:rPr>
        <w:t>.</w:t>
      </w:r>
    </w:p>
    <w:p w14:paraId="105E1FAD" w14:textId="3E653C4C" w:rsidR="004E568F" w:rsidRPr="004E568F" w:rsidRDefault="004E568F" w:rsidP="002B3B0A">
      <w:pPr>
        <w:spacing w:after="120"/>
        <w:rPr>
          <w:noProof/>
          <w:sz w:val="22"/>
        </w:rPr>
      </w:pPr>
      <w:r w:rsidRPr="00E2194F">
        <w:rPr>
          <w:noProof/>
          <w:sz w:val="22"/>
        </w:rPr>
        <w:t>European Commission (2026)</w:t>
      </w:r>
      <w:r w:rsidR="00E2194F" w:rsidRPr="002B3B0A">
        <w:rPr>
          <w:noProof/>
          <w:sz w:val="22"/>
        </w:rPr>
        <w:t xml:space="preserve">, </w:t>
      </w:r>
      <w:r w:rsidR="00E2194F" w:rsidRPr="002B3B0A">
        <w:rPr>
          <w:i/>
          <w:iCs/>
          <w:noProof/>
          <w:sz w:val="22"/>
        </w:rPr>
        <w:t xml:space="preserve">Recommendation for a </w:t>
      </w:r>
      <w:r w:rsidR="00E2194F" w:rsidRPr="00E2194F">
        <w:rPr>
          <w:i/>
          <w:iCs/>
          <w:noProof/>
          <w:sz w:val="22"/>
        </w:rPr>
        <w:t xml:space="preserve">Council Recommendation </w:t>
      </w:r>
      <w:r w:rsidR="00E2194F" w:rsidRPr="002B3B0A">
        <w:rPr>
          <w:i/>
          <w:iCs/>
          <w:noProof/>
          <w:sz w:val="22"/>
        </w:rPr>
        <w:t xml:space="preserve">on the economic, social, employment, structural and budgetary policies of </w:t>
      </w:r>
      <w:r w:rsidR="00E2194F">
        <w:rPr>
          <w:i/>
          <w:iCs/>
          <w:noProof/>
          <w:sz w:val="22"/>
        </w:rPr>
        <w:t>Italy</w:t>
      </w:r>
      <w:r w:rsidR="00E2194F" w:rsidRPr="00E2194F">
        <w:rPr>
          <w:noProof/>
          <w:sz w:val="22"/>
        </w:rPr>
        <w:t>, COM(2026)</w:t>
      </w:r>
      <w:r w:rsidRPr="00E2194F">
        <w:rPr>
          <w:noProof/>
          <w:sz w:val="22"/>
        </w:rPr>
        <w:t xml:space="preserve"> 21</w:t>
      </w:r>
      <w:r w:rsidR="00F83A66">
        <w:rPr>
          <w:noProof/>
          <w:sz w:val="22"/>
        </w:rPr>
        <w:t>2</w:t>
      </w:r>
      <w:r w:rsidRPr="00E2194F">
        <w:rPr>
          <w:noProof/>
          <w:sz w:val="22"/>
        </w:rPr>
        <w:t xml:space="preserve"> final.</w:t>
      </w:r>
    </w:p>
    <w:p w14:paraId="02CBD5CD" w14:textId="680A08EA" w:rsidR="00490F94" w:rsidRPr="008D1BFF" w:rsidRDefault="00490F94" w:rsidP="00490F94">
      <w:pPr>
        <w:pStyle w:val="FootnoteText"/>
        <w:spacing w:after="120"/>
        <w:ind w:left="0" w:firstLine="0"/>
        <w:rPr>
          <w:noProof/>
          <w:sz w:val="22"/>
          <w:szCs w:val="22"/>
        </w:rPr>
      </w:pPr>
      <w:r w:rsidRPr="008D1BFF">
        <w:rPr>
          <w:noProof/>
          <w:sz w:val="22"/>
          <w:szCs w:val="22"/>
        </w:rPr>
        <w:t xml:space="preserve">European Court of Human Rights, judgement of 9 January 2013, </w:t>
      </w:r>
      <w:r w:rsidRPr="00C30410">
        <w:rPr>
          <w:i/>
          <w:iCs/>
          <w:noProof/>
          <w:sz w:val="22"/>
          <w:szCs w:val="22"/>
        </w:rPr>
        <w:t>Oleksandar Volkov v. Ukraine</w:t>
      </w:r>
      <w:r w:rsidRPr="007C4638">
        <w:rPr>
          <w:noProof/>
          <w:sz w:val="22"/>
          <w:szCs w:val="22"/>
        </w:rPr>
        <w:t>, 21722/11</w:t>
      </w:r>
      <w:r>
        <w:rPr>
          <w:noProof/>
          <w:sz w:val="22"/>
          <w:szCs w:val="22"/>
        </w:rPr>
        <w:t xml:space="preserve">, </w:t>
      </w:r>
      <w:hyperlink r:id="rId47" w:anchor="{%22itemid%22:[%22001-115871%22]}" w:history="1">
        <w:r w:rsidRPr="00223270">
          <w:rPr>
            <w:rStyle w:val="Hyperlink"/>
            <w:noProof/>
            <w:sz w:val="22"/>
            <w:szCs w:val="22"/>
          </w:rPr>
          <w:t>https://hudoc.echr.coe.int/eng#{%22itemid%22:[%22001-115871%22]}</w:t>
        </w:r>
      </w:hyperlink>
      <w:r>
        <w:rPr>
          <w:noProof/>
          <w:sz w:val="22"/>
          <w:szCs w:val="22"/>
        </w:rPr>
        <w:t xml:space="preserve"> </w:t>
      </w:r>
      <w:r w:rsidRPr="008D1BFF">
        <w:rPr>
          <w:noProof/>
          <w:sz w:val="22"/>
          <w:szCs w:val="22"/>
        </w:rPr>
        <w:t>.</w:t>
      </w:r>
    </w:p>
    <w:p w14:paraId="3EF66AB4" w14:textId="77777777" w:rsidR="003138D7" w:rsidRPr="00376727" w:rsidRDefault="003138D7" w:rsidP="003138D7">
      <w:pPr>
        <w:spacing w:after="120"/>
        <w:rPr>
          <w:rFonts w:eastAsiaTheme="minorHAnsi"/>
          <w:noProof/>
          <w:sz w:val="22"/>
          <w:szCs w:val="22"/>
          <w:lang w:val="en-IE" w:eastAsia="en-US"/>
        </w:rPr>
      </w:pPr>
      <w:r w:rsidRPr="00376727">
        <w:rPr>
          <w:rFonts w:eastAsiaTheme="minorHAnsi"/>
          <w:noProof/>
          <w:sz w:val="22"/>
          <w:szCs w:val="22"/>
          <w:lang w:eastAsia="en-US"/>
        </w:rPr>
        <w:t>European Implementation Network (2026), </w:t>
      </w:r>
      <w:r w:rsidRPr="00376727">
        <w:rPr>
          <w:rFonts w:eastAsiaTheme="minorHAnsi"/>
          <w:i/>
          <w:iCs/>
          <w:noProof/>
          <w:sz w:val="22"/>
          <w:szCs w:val="22"/>
          <w:lang w:eastAsia="en-US"/>
        </w:rPr>
        <w:t>Input from the European Implementation Network for the 2026 Rule of Law Report</w:t>
      </w:r>
      <w:r w:rsidRPr="00376727">
        <w:rPr>
          <w:rFonts w:eastAsiaTheme="minorHAnsi"/>
          <w:noProof/>
          <w:sz w:val="22"/>
          <w:szCs w:val="22"/>
          <w:lang w:val="en-IE" w:eastAsia="en-US"/>
        </w:rPr>
        <w:t>. </w:t>
      </w:r>
    </w:p>
    <w:p w14:paraId="60D5D38A" w14:textId="47E4DCCE" w:rsidR="00490F94" w:rsidRPr="008D1BFF" w:rsidRDefault="00490F94" w:rsidP="00490F94">
      <w:pPr>
        <w:pStyle w:val="FootnoteText"/>
        <w:spacing w:after="120"/>
        <w:ind w:left="0" w:firstLine="0"/>
        <w:rPr>
          <w:noProof/>
          <w:color w:val="000000" w:themeColor="text1"/>
          <w:sz w:val="22"/>
          <w:szCs w:val="22"/>
        </w:rPr>
      </w:pPr>
      <w:r w:rsidRPr="007C4638">
        <w:rPr>
          <w:noProof/>
          <w:sz w:val="22"/>
          <w:szCs w:val="22"/>
        </w:rPr>
        <w:t>European Judicial Network</w:t>
      </w:r>
      <w:r>
        <w:rPr>
          <w:noProof/>
          <w:sz w:val="22"/>
          <w:szCs w:val="22"/>
        </w:rPr>
        <w:t>,</w:t>
      </w:r>
      <w:r w:rsidRPr="007C4638">
        <w:rPr>
          <w:noProof/>
          <w:sz w:val="22"/>
          <w:szCs w:val="22"/>
        </w:rPr>
        <w:t xml:space="preserve"> EJN (2025), Online processing of cases and e-communication with courts – Italy, 30 May 2025, </w:t>
      </w:r>
      <w:hyperlink r:id="rId48" w:history="1">
        <w:r w:rsidRPr="00223270">
          <w:rPr>
            <w:rStyle w:val="Hyperlink"/>
            <w:noProof/>
            <w:sz w:val="22"/>
            <w:szCs w:val="22"/>
          </w:rPr>
          <w:t>https://e-justice.europa.eu/topics/court-procedures/civil-cases/online-processing-cases-and-e-communication-courts/it_en</w:t>
        </w:r>
      </w:hyperlink>
      <w:r w:rsidRPr="007C4638">
        <w:rPr>
          <w:noProof/>
          <w:sz w:val="22"/>
          <w:szCs w:val="22"/>
        </w:rPr>
        <w:t>.</w:t>
      </w:r>
    </w:p>
    <w:p w14:paraId="06214C93" w14:textId="77777777" w:rsidR="00490F94" w:rsidRPr="008D1BFF" w:rsidRDefault="00490F94" w:rsidP="00490F94">
      <w:pPr>
        <w:spacing w:after="160" w:line="259" w:lineRule="auto"/>
        <w:jc w:val="left"/>
        <w:rPr>
          <w:i/>
          <w:iCs/>
          <w:noProof/>
          <w:sz w:val="22"/>
        </w:rPr>
      </w:pPr>
      <w:r w:rsidRPr="008D1BFF">
        <w:rPr>
          <w:noProof/>
          <w:sz w:val="22"/>
        </w:rPr>
        <w:t xml:space="preserve">European Parliament, (2021), </w:t>
      </w:r>
      <w:r w:rsidRPr="008D1BFF">
        <w:rPr>
          <w:i/>
          <w:iCs/>
          <w:noProof/>
          <w:sz w:val="22"/>
        </w:rPr>
        <w:t>Financing of political structures in EU Member States</w:t>
      </w:r>
      <w:r w:rsidRPr="008D1BFF">
        <w:rPr>
          <w:noProof/>
          <w:sz w:val="22"/>
        </w:rPr>
        <w:t>,</w:t>
      </w:r>
      <w:r>
        <w:rPr>
          <w:noProof/>
          <w:sz w:val="22"/>
        </w:rPr>
        <w:t xml:space="preserve"> </w:t>
      </w:r>
      <w:r w:rsidRPr="005E6CED">
        <w:rPr>
          <w:rStyle w:val="Hyperlink"/>
          <w:noProof/>
          <w:sz w:val="22"/>
        </w:rPr>
        <w:t>https:// www.europarl.europa.eu/RegData/etudes/STUD/2021/694836/IPOL_STU(2021)694836_EN.pdf</w:t>
      </w:r>
      <w:r>
        <w:rPr>
          <w:i/>
          <w:iCs/>
          <w:noProof/>
          <w:sz w:val="20"/>
        </w:rPr>
        <w:t>.</w:t>
      </w:r>
    </w:p>
    <w:p w14:paraId="46835C0C" w14:textId="3A226122" w:rsidR="00490F94" w:rsidRPr="008D1BFF" w:rsidRDefault="00490F94" w:rsidP="00490F94">
      <w:pPr>
        <w:spacing w:after="160" w:line="259" w:lineRule="auto"/>
        <w:jc w:val="left"/>
        <w:rPr>
          <w:i/>
          <w:iCs/>
          <w:noProof/>
          <w:sz w:val="22"/>
        </w:rPr>
      </w:pPr>
      <w:r w:rsidRPr="00D92D10">
        <w:rPr>
          <w:noProof/>
          <w:sz w:val="22"/>
        </w:rPr>
        <w:t>European Public Prosecutors Office (EPPO) (2026),</w:t>
      </w:r>
      <w:r w:rsidRPr="008D1BFF">
        <w:rPr>
          <w:i/>
          <w:iCs/>
          <w:noProof/>
          <w:sz w:val="22"/>
        </w:rPr>
        <w:t xml:space="preserve"> </w:t>
      </w:r>
      <w:r w:rsidRPr="008D1BFF">
        <w:rPr>
          <w:i/>
          <w:noProof/>
          <w:sz w:val="22"/>
        </w:rPr>
        <w:t>Contribution from EPPO for the 2026 Rule of Law Report</w:t>
      </w:r>
      <w:r w:rsidR="00CE7A11" w:rsidRPr="006536D8">
        <w:rPr>
          <w:noProof/>
          <w:sz w:val="22"/>
          <w:lang w:eastAsia="en-GB"/>
        </w:rPr>
        <w:t>.</w:t>
      </w:r>
    </w:p>
    <w:p w14:paraId="386F1E7D" w14:textId="77777777" w:rsidR="00490F94" w:rsidRPr="008D1BFF" w:rsidRDefault="00490F94" w:rsidP="00490F94">
      <w:pPr>
        <w:spacing w:after="120"/>
        <w:rPr>
          <w:noProof/>
          <w:sz w:val="22"/>
          <w:lang w:val="it-IT"/>
        </w:rPr>
      </w:pPr>
      <w:r w:rsidRPr="008D1BFF">
        <w:rPr>
          <w:noProof/>
          <w:sz w:val="22"/>
          <w:lang w:val="it-IT"/>
        </w:rPr>
        <w:t>Federazione Nazionale Stampa Italiana</w:t>
      </w:r>
      <w:r>
        <w:rPr>
          <w:noProof/>
          <w:sz w:val="22"/>
          <w:lang w:val="it-IT"/>
        </w:rPr>
        <w:t>, FNSI</w:t>
      </w:r>
      <w:r w:rsidRPr="008D1BFF">
        <w:rPr>
          <w:noProof/>
          <w:sz w:val="22"/>
          <w:lang w:val="it-IT"/>
        </w:rPr>
        <w:t xml:space="preserve"> (2025), </w:t>
      </w:r>
      <w:r w:rsidRPr="008D1BFF">
        <w:rPr>
          <w:i/>
          <w:noProof/>
          <w:sz w:val="22"/>
          <w:lang w:val="it-IT"/>
        </w:rPr>
        <w:t>Contribution from Federazione Nazionale Stampa Italiana for the 2025 Rule of Law Report</w:t>
      </w:r>
      <w:r w:rsidRPr="008D1BFF">
        <w:rPr>
          <w:noProof/>
          <w:sz w:val="22"/>
          <w:lang w:val="it-IT"/>
        </w:rPr>
        <w:t>.</w:t>
      </w:r>
    </w:p>
    <w:p w14:paraId="19F16AFE" w14:textId="77777777" w:rsidR="00490F94" w:rsidRPr="008D1BFF" w:rsidRDefault="00490F94" w:rsidP="00490F94">
      <w:pPr>
        <w:spacing w:after="120"/>
        <w:rPr>
          <w:noProof/>
          <w:sz w:val="22"/>
        </w:rPr>
      </w:pPr>
      <w:r w:rsidRPr="007C4638">
        <w:rPr>
          <w:noProof/>
          <w:sz w:val="22"/>
          <w:lang w:val="en-IE"/>
        </w:rPr>
        <w:t>Fundamental Rights Agency</w:t>
      </w:r>
      <w:r>
        <w:rPr>
          <w:noProof/>
          <w:sz w:val="22"/>
          <w:lang w:val="en-IE"/>
        </w:rPr>
        <w:t xml:space="preserve">, </w:t>
      </w:r>
      <w:r w:rsidRPr="007C4638">
        <w:rPr>
          <w:noProof/>
          <w:sz w:val="22"/>
          <w:lang w:val="en-IE"/>
        </w:rPr>
        <w:t xml:space="preserve">FRA (2026), </w:t>
      </w:r>
      <w:r w:rsidRPr="008D1BFF">
        <w:rPr>
          <w:i/>
          <w:noProof/>
          <w:sz w:val="22"/>
        </w:rPr>
        <w:t>Contribution from FRA for the 2026 Rule of Law Report</w:t>
      </w:r>
      <w:r w:rsidRPr="008D1BFF">
        <w:rPr>
          <w:noProof/>
          <w:sz w:val="22"/>
        </w:rPr>
        <w:t>.</w:t>
      </w:r>
    </w:p>
    <w:p w14:paraId="5DA253FC" w14:textId="77777777" w:rsidR="00490F94" w:rsidRPr="007C4638" w:rsidRDefault="00490F94" w:rsidP="00490F94">
      <w:pPr>
        <w:spacing w:after="120"/>
        <w:rPr>
          <w:noProof/>
          <w:sz w:val="22"/>
        </w:rPr>
      </w:pPr>
      <w:r w:rsidRPr="008D1BFF">
        <w:rPr>
          <w:noProof/>
          <w:sz w:val="22"/>
        </w:rPr>
        <w:t xml:space="preserve">FRANET (2026), </w:t>
      </w:r>
      <w:r w:rsidRPr="007C4638">
        <w:rPr>
          <w:i/>
          <w:iCs/>
          <w:noProof/>
          <w:sz w:val="22"/>
        </w:rPr>
        <w:t>Civic space in the EU in 2025</w:t>
      </w:r>
      <w:r w:rsidRPr="008D1BFF">
        <w:rPr>
          <w:noProof/>
          <w:sz w:val="22"/>
        </w:rPr>
        <w:t>, Country: Italy.</w:t>
      </w:r>
    </w:p>
    <w:p w14:paraId="0237067C" w14:textId="0138FFF3" w:rsidR="00F255C7" w:rsidRPr="002B3B0A" w:rsidRDefault="00F255C7" w:rsidP="00490F94">
      <w:pPr>
        <w:spacing w:after="120"/>
        <w:rPr>
          <w:i/>
          <w:iCs/>
          <w:noProof/>
          <w:sz w:val="22"/>
          <w:lang w:val="en-IE"/>
        </w:rPr>
      </w:pPr>
      <w:r w:rsidRPr="002B3B0A">
        <w:rPr>
          <w:noProof/>
          <w:sz w:val="22"/>
          <w:lang w:val="en-IE"/>
        </w:rPr>
        <w:t xml:space="preserve">GRECO (2024), </w:t>
      </w:r>
      <w:r w:rsidR="00A3696E" w:rsidRPr="002B3B0A">
        <w:rPr>
          <w:i/>
          <w:noProof/>
          <w:sz w:val="22"/>
          <w:lang w:val="en-IE"/>
        </w:rPr>
        <w:t>Fifth Evaluation Round</w:t>
      </w:r>
      <w:r w:rsidR="005337C6" w:rsidRPr="002B3B0A">
        <w:rPr>
          <w:i/>
          <w:noProof/>
          <w:sz w:val="22"/>
          <w:lang w:val="en-IE"/>
        </w:rPr>
        <w:t>: Italy</w:t>
      </w:r>
      <w:r w:rsidR="005337C6" w:rsidRPr="002B3B0A">
        <w:rPr>
          <w:noProof/>
          <w:sz w:val="22"/>
          <w:lang w:val="en-IE"/>
        </w:rPr>
        <w:t xml:space="preserve">, </w:t>
      </w:r>
      <w:hyperlink r:id="rId49" w:history="1">
        <w:r w:rsidR="007A140B" w:rsidRPr="002B3B0A">
          <w:rPr>
            <w:rStyle w:val="Hyperlink"/>
            <w:noProof/>
            <w:sz w:val="22"/>
            <w:lang w:val="en-IE"/>
          </w:rPr>
          <w:t>https://rm.coe.int/fifth-evaluation-round-preventing-corruption-and-promoting-integrity-i/1680b16315</w:t>
        </w:r>
      </w:hyperlink>
      <w:r w:rsidR="007A140B" w:rsidRPr="002B3B0A">
        <w:rPr>
          <w:noProof/>
          <w:sz w:val="22"/>
          <w:lang w:val="en-IE"/>
        </w:rPr>
        <w:t xml:space="preserve"> </w:t>
      </w:r>
      <w:r w:rsidR="005337C6" w:rsidRPr="002B3B0A">
        <w:rPr>
          <w:noProof/>
          <w:sz w:val="22"/>
          <w:lang w:val="en-IE"/>
        </w:rPr>
        <w:t xml:space="preserve"> </w:t>
      </w:r>
    </w:p>
    <w:p w14:paraId="377CCFDA" w14:textId="79DF2FBB" w:rsidR="00490F94" w:rsidRPr="00D71250" w:rsidRDefault="00490F94" w:rsidP="00490F94">
      <w:pPr>
        <w:spacing w:after="120"/>
        <w:rPr>
          <w:i/>
          <w:noProof/>
          <w:sz w:val="22"/>
          <w:lang w:val="en-IE"/>
        </w:rPr>
      </w:pPr>
      <w:r w:rsidRPr="00D71250">
        <w:rPr>
          <w:noProof/>
          <w:sz w:val="22"/>
          <w:lang w:val="it-IT"/>
        </w:rPr>
        <w:t>Guardia di Finanza (202</w:t>
      </w:r>
      <w:r>
        <w:rPr>
          <w:noProof/>
          <w:sz w:val="22"/>
          <w:lang w:val="it-IT"/>
        </w:rPr>
        <w:t>5</w:t>
      </w:r>
      <w:r w:rsidRPr="00D71250">
        <w:rPr>
          <w:noProof/>
          <w:sz w:val="22"/>
          <w:lang w:val="it-IT"/>
        </w:rPr>
        <w:t xml:space="preserve">), </w:t>
      </w:r>
      <w:r w:rsidRPr="00D71250">
        <w:rPr>
          <w:i/>
          <w:iCs/>
          <w:noProof/>
          <w:sz w:val="22"/>
          <w:lang w:val="it-IT"/>
        </w:rPr>
        <w:t xml:space="preserve">Codice deontologico della Guardia di Finanza. </w:t>
      </w:r>
      <w:r w:rsidRPr="0093788A">
        <w:rPr>
          <w:i/>
          <w:noProof/>
          <w:sz w:val="22"/>
          <w:lang w:val="en-IE"/>
        </w:rPr>
        <w:t xml:space="preserve">Edizione 2025. </w:t>
      </w:r>
    </w:p>
    <w:p w14:paraId="4A3EA7D9" w14:textId="77777777" w:rsidR="00490F94" w:rsidRPr="008D1BFF" w:rsidRDefault="00490F94" w:rsidP="00490F94">
      <w:pPr>
        <w:spacing w:after="120"/>
        <w:rPr>
          <w:i/>
          <w:iCs/>
          <w:noProof/>
          <w:sz w:val="22"/>
        </w:rPr>
      </w:pPr>
      <w:r w:rsidRPr="008D1BFF">
        <w:rPr>
          <w:noProof/>
          <w:sz w:val="22"/>
        </w:rPr>
        <w:t xml:space="preserve">High Council of the Judiciary (2026), </w:t>
      </w:r>
      <w:r w:rsidRPr="008D1BFF">
        <w:rPr>
          <w:i/>
          <w:iCs/>
          <w:noProof/>
          <w:sz w:val="22"/>
        </w:rPr>
        <w:t>Contribution from the High Council of the Judiciary for the 2026 Rule of Law Report.</w:t>
      </w:r>
    </w:p>
    <w:p w14:paraId="60BA1EE0" w14:textId="77777777" w:rsidR="00490F94" w:rsidRPr="008D1BFF" w:rsidRDefault="00490F94" w:rsidP="00490F94">
      <w:pPr>
        <w:spacing w:after="120"/>
        <w:rPr>
          <w:noProof/>
          <w:color w:val="000000" w:themeColor="text1"/>
          <w:sz w:val="22"/>
        </w:rPr>
      </w:pPr>
      <w:r w:rsidRPr="008D1BFF">
        <w:rPr>
          <w:noProof/>
          <w:color w:val="000000" w:themeColor="text1"/>
          <w:sz w:val="22"/>
        </w:rPr>
        <w:t xml:space="preserve">High Council of the Judiciary (2025a), </w:t>
      </w:r>
      <w:r w:rsidRPr="00C30410">
        <w:rPr>
          <w:i/>
          <w:iCs/>
          <w:noProof/>
          <w:color w:val="000000" w:themeColor="text1"/>
          <w:sz w:val="22"/>
        </w:rPr>
        <w:t>Annual Report 2025</w:t>
      </w:r>
      <w:r w:rsidRPr="008D1BFF">
        <w:rPr>
          <w:noProof/>
          <w:color w:val="000000" w:themeColor="text1"/>
          <w:sz w:val="22"/>
        </w:rPr>
        <w:t xml:space="preserve">, </w:t>
      </w:r>
      <w:hyperlink r:id="rId50" w:history="1">
        <w:r w:rsidRPr="00223270">
          <w:rPr>
            <w:rStyle w:val="Hyperlink"/>
            <w:noProof/>
            <w:sz w:val="22"/>
          </w:rPr>
          <w:t>https://www.csm.it/portale/documents/21768/13139917/Volume+relazione+annuale+2025+-+rev+21+dic.pdf/cac09ca3-fb40-011b-3807-5f808df61316?t=1770313214182</w:t>
        </w:r>
      </w:hyperlink>
      <w:r w:rsidRPr="008D1BFF">
        <w:rPr>
          <w:noProof/>
          <w:color w:val="000000" w:themeColor="text1"/>
          <w:sz w:val="22"/>
        </w:rPr>
        <w:t>.</w:t>
      </w:r>
    </w:p>
    <w:p w14:paraId="5F3F588E" w14:textId="77777777" w:rsidR="00490F94" w:rsidRPr="008D1BFF" w:rsidRDefault="00490F94" w:rsidP="00490F94">
      <w:pPr>
        <w:spacing w:after="120"/>
        <w:rPr>
          <w:rStyle w:val="Hyperlink"/>
          <w:noProof/>
          <w:color w:val="000000" w:themeColor="text1"/>
          <w:sz w:val="22"/>
        </w:rPr>
      </w:pPr>
      <w:r w:rsidRPr="008D1BFF">
        <w:rPr>
          <w:noProof/>
          <w:color w:val="000000" w:themeColor="text1"/>
          <w:sz w:val="22"/>
        </w:rPr>
        <w:t xml:space="preserve">High Council of the Judiciary (2025b), </w:t>
      </w:r>
      <w:r w:rsidRPr="00C30410">
        <w:rPr>
          <w:i/>
          <w:iCs/>
          <w:noProof/>
          <w:color w:val="000000" w:themeColor="text1"/>
          <w:sz w:val="22"/>
        </w:rPr>
        <w:t>Opinion of 8 January 2025</w:t>
      </w:r>
      <w:r w:rsidRPr="008D1BFF">
        <w:rPr>
          <w:noProof/>
          <w:color w:val="000000" w:themeColor="text1"/>
          <w:sz w:val="22"/>
        </w:rPr>
        <w:t>,</w:t>
      </w:r>
      <w:r w:rsidRPr="00865AFA">
        <w:rPr>
          <w:noProof/>
          <w:color w:val="000000" w:themeColor="text1"/>
          <w:sz w:val="22"/>
        </w:rPr>
        <w:t xml:space="preserve"> </w:t>
      </w:r>
      <w:hyperlink r:id="rId51" w:history="1">
        <w:r w:rsidRPr="00223270">
          <w:rPr>
            <w:rStyle w:val="Hyperlink"/>
            <w:noProof/>
            <w:sz w:val="22"/>
          </w:rPr>
          <w:t>https://www.csm.it/portale/documents/21768/92150/Parere+separazione+carriere+e+riforma+CSM+%28delibera+8+gennaio+2025%29.pdf/80a01678-fe53-f348-dce5-3296ea3d7891?t=1736525435000</w:t>
        </w:r>
      </w:hyperlink>
      <w:r w:rsidRPr="008D1BFF">
        <w:rPr>
          <w:rStyle w:val="Hyperlink"/>
          <w:noProof/>
          <w:color w:val="000000" w:themeColor="text1"/>
          <w:sz w:val="22"/>
        </w:rPr>
        <w:t>.</w:t>
      </w:r>
    </w:p>
    <w:p w14:paraId="1C352FFB" w14:textId="17ACDD49" w:rsidR="00490F94" w:rsidRPr="008D1BFF" w:rsidRDefault="00490F94" w:rsidP="00490F94">
      <w:pPr>
        <w:spacing w:after="120"/>
        <w:rPr>
          <w:noProof/>
          <w:sz w:val="22"/>
        </w:rPr>
      </w:pPr>
      <w:r w:rsidRPr="008D1BFF">
        <w:rPr>
          <w:noProof/>
          <w:sz w:val="22"/>
        </w:rPr>
        <w:t xml:space="preserve">Italian Government (2026), </w:t>
      </w:r>
      <w:r w:rsidR="000E7350">
        <w:rPr>
          <w:i/>
          <w:noProof/>
          <w:sz w:val="22"/>
        </w:rPr>
        <w:t>Contribution</w:t>
      </w:r>
      <w:r w:rsidR="000E7350" w:rsidRPr="008D1BFF">
        <w:rPr>
          <w:i/>
          <w:noProof/>
          <w:sz w:val="22"/>
        </w:rPr>
        <w:t xml:space="preserve"> </w:t>
      </w:r>
      <w:r w:rsidRPr="008D1BFF">
        <w:rPr>
          <w:i/>
          <w:noProof/>
          <w:sz w:val="22"/>
        </w:rPr>
        <w:t>from Italy for the 2026 Rule of Law Report</w:t>
      </w:r>
      <w:r w:rsidRPr="008D1BFF">
        <w:rPr>
          <w:noProof/>
          <w:sz w:val="22"/>
        </w:rPr>
        <w:t>.</w:t>
      </w:r>
    </w:p>
    <w:p w14:paraId="3F7E7558" w14:textId="5DB208B8" w:rsidR="00490F94" w:rsidRPr="008D1BFF" w:rsidRDefault="00490F94" w:rsidP="00490F94">
      <w:pPr>
        <w:spacing w:after="120"/>
        <w:rPr>
          <w:noProof/>
          <w:sz w:val="22"/>
        </w:rPr>
      </w:pPr>
      <w:r w:rsidRPr="008D1BFF">
        <w:rPr>
          <w:noProof/>
          <w:sz w:val="22"/>
        </w:rPr>
        <w:t>Italian Government (</w:t>
      </w:r>
      <w:r w:rsidRPr="007C4638">
        <w:rPr>
          <w:noProof/>
          <w:color w:val="000000" w:themeColor="text1"/>
          <w:sz w:val="22"/>
        </w:rPr>
        <w:t>2026a</w:t>
      </w:r>
      <w:r w:rsidRPr="008D1BFF">
        <w:rPr>
          <w:noProof/>
          <w:sz w:val="22"/>
        </w:rPr>
        <w:t xml:space="preserve">), </w:t>
      </w:r>
      <w:r w:rsidRPr="008D1BFF">
        <w:rPr>
          <w:i/>
          <w:iCs/>
          <w:noProof/>
          <w:sz w:val="22"/>
        </w:rPr>
        <w:t xml:space="preserve">Additional </w:t>
      </w:r>
      <w:r w:rsidR="000E7350">
        <w:rPr>
          <w:i/>
          <w:iCs/>
          <w:noProof/>
          <w:sz w:val="22"/>
        </w:rPr>
        <w:t>contribution</w:t>
      </w:r>
      <w:r w:rsidR="000E7350" w:rsidRPr="008D1BFF">
        <w:rPr>
          <w:i/>
          <w:iCs/>
          <w:noProof/>
          <w:sz w:val="22"/>
        </w:rPr>
        <w:t xml:space="preserve"> </w:t>
      </w:r>
      <w:r w:rsidRPr="008D1BFF">
        <w:rPr>
          <w:i/>
          <w:iCs/>
          <w:noProof/>
          <w:sz w:val="22"/>
        </w:rPr>
        <w:t>for the 2026 Rule of Law</w:t>
      </w:r>
      <w:r>
        <w:rPr>
          <w:i/>
          <w:iCs/>
          <w:noProof/>
          <w:sz w:val="22"/>
        </w:rPr>
        <w:t xml:space="preserve"> Report</w:t>
      </w:r>
      <w:r w:rsidRPr="008D1BFF">
        <w:rPr>
          <w:noProof/>
          <w:sz w:val="22"/>
        </w:rPr>
        <w:t>.</w:t>
      </w:r>
    </w:p>
    <w:p w14:paraId="064C95C3" w14:textId="2091D511" w:rsidR="0062085A" w:rsidRPr="00D31B32" w:rsidRDefault="0062085A" w:rsidP="00490F94">
      <w:pPr>
        <w:spacing w:after="120"/>
        <w:rPr>
          <w:noProof/>
          <w:sz w:val="22"/>
        </w:rPr>
      </w:pPr>
      <w:r w:rsidRPr="00D31B32">
        <w:rPr>
          <w:noProof/>
          <w:sz w:val="22"/>
        </w:rPr>
        <w:t>ISTAT (2026),</w:t>
      </w:r>
      <w:r w:rsidR="00F12183" w:rsidRPr="002B3B0A">
        <w:rPr>
          <w:noProof/>
          <w:sz w:val="22"/>
        </w:rPr>
        <w:t xml:space="preserve"> </w:t>
      </w:r>
      <w:r w:rsidR="00F12183" w:rsidRPr="002B3B0A">
        <w:rPr>
          <w:i/>
          <w:iCs/>
          <w:noProof/>
          <w:sz w:val="22"/>
        </w:rPr>
        <w:t>Efficiency of the justice system</w:t>
      </w:r>
      <w:r w:rsidR="00D31B32" w:rsidRPr="002B3B0A">
        <w:rPr>
          <w:i/>
          <w:iCs/>
          <w:noProof/>
          <w:sz w:val="22"/>
        </w:rPr>
        <w:t>: analysis of flows</w:t>
      </w:r>
      <w:r w:rsidR="002665FB" w:rsidRPr="00D31B32">
        <w:rPr>
          <w:noProof/>
          <w:sz w:val="22"/>
        </w:rPr>
        <w:t xml:space="preserve"> </w:t>
      </w:r>
      <w:r w:rsidR="00F12183" w:rsidRPr="002B3B0A">
        <w:rPr>
          <w:noProof/>
          <w:sz w:val="22"/>
        </w:rPr>
        <w:t>(</w:t>
      </w:r>
      <w:r w:rsidR="002665FB" w:rsidRPr="00D31B32">
        <w:rPr>
          <w:noProof/>
          <w:sz w:val="22"/>
        </w:rPr>
        <w:t>Efficienza del sistema giustizia: analisi dei flussi dei procedimenti</w:t>
      </w:r>
      <w:r w:rsidR="00F12183" w:rsidRPr="002B3B0A">
        <w:rPr>
          <w:noProof/>
          <w:sz w:val="22"/>
        </w:rPr>
        <w:t>)</w:t>
      </w:r>
      <w:r w:rsidR="002665FB" w:rsidRPr="002B3B0A">
        <w:rPr>
          <w:noProof/>
          <w:sz w:val="22"/>
        </w:rPr>
        <w:t xml:space="preserve">, 22 June 2026, </w:t>
      </w:r>
      <w:hyperlink r:id="rId52" w:history="1">
        <w:r w:rsidR="00F12183" w:rsidRPr="002B3B0A">
          <w:rPr>
            <w:rStyle w:val="Hyperlink"/>
            <w:noProof/>
            <w:sz w:val="22"/>
          </w:rPr>
          <w:t>https://www.istat.it/comunicato-stampa/efficienza-del-sistema-giustizia-analisi-dei-flussi-dei-procedimenti/</w:t>
        </w:r>
      </w:hyperlink>
      <w:r w:rsidR="00F12183" w:rsidRPr="002B3B0A">
        <w:rPr>
          <w:noProof/>
          <w:sz w:val="22"/>
        </w:rPr>
        <w:t xml:space="preserve"> </w:t>
      </w:r>
    </w:p>
    <w:p w14:paraId="71687D8B" w14:textId="5535A6CB" w:rsidR="00490F94" w:rsidRPr="008D1BFF" w:rsidRDefault="00490F94" w:rsidP="00490F94">
      <w:pPr>
        <w:spacing w:after="120"/>
        <w:rPr>
          <w:noProof/>
          <w:sz w:val="22"/>
        </w:rPr>
      </w:pPr>
      <w:r w:rsidRPr="008D1BFF">
        <w:rPr>
          <w:noProof/>
          <w:sz w:val="22"/>
        </w:rPr>
        <w:t xml:space="preserve">Libera (2026), </w:t>
      </w:r>
      <w:r w:rsidRPr="008D1BFF">
        <w:rPr>
          <w:i/>
          <w:noProof/>
          <w:sz w:val="22"/>
        </w:rPr>
        <w:t>Contribution from Libera for the 2026 Rule of Law Report</w:t>
      </w:r>
      <w:r w:rsidRPr="008D1BFF">
        <w:rPr>
          <w:noProof/>
          <w:sz w:val="22"/>
        </w:rPr>
        <w:t>.</w:t>
      </w:r>
    </w:p>
    <w:p w14:paraId="50A52FC3" w14:textId="77777777" w:rsidR="00490F94" w:rsidRPr="008D1BFF" w:rsidRDefault="00490F94" w:rsidP="00490F94">
      <w:pPr>
        <w:spacing w:after="120"/>
        <w:rPr>
          <w:noProof/>
          <w:sz w:val="22"/>
        </w:rPr>
      </w:pPr>
      <w:r w:rsidRPr="008D1BFF">
        <w:rPr>
          <w:noProof/>
          <w:sz w:val="22"/>
        </w:rPr>
        <w:t xml:space="preserve">MEDEL (2026), </w:t>
      </w:r>
      <w:r w:rsidRPr="008D1BFF">
        <w:rPr>
          <w:i/>
          <w:noProof/>
          <w:sz w:val="22"/>
        </w:rPr>
        <w:t>Contribution from MEDEL for the 2026 Rule of Law Report</w:t>
      </w:r>
      <w:r w:rsidRPr="008D1BFF">
        <w:rPr>
          <w:noProof/>
          <w:sz w:val="22"/>
        </w:rPr>
        <w:t>.</w:t>
      </w:r>
    </w:p>
    <w:p w14:paraId="6C2625D4" w14:textId="77777777" w:rsidR="00490F94" w:rsidRPr="007C4638" w:rsidRDefault="00490F94" w:rsidP="00490F94">
      <w:pPr>
        <w:spacing w:after="120"/>
        <w:rPr>
          <w:noProof/>
          <w:sz w:val="22"/>
          <w:lang w:val="en-IE"/>
        </w:rPr>
      </w:pPr>
      <w:r w:rsidRPr="00C158A1">
        <w:rPr>
          <w:noProof/>
          <w:sz w:val="22"/>
        </w:rPr>
        <w:t xml:space="preserve">Media Pluralism Monitor </w:t>
      </w:r>
      <w:r>
        <w:rPr>
          <w:noProof/>
          <w:sz w:val="22"/>
        </w:rPr>
        <w:t>(</w:t>
      </w:r>
      <w:r w:rsidRPr="00C158A1">
        <w:rPr>
          <w:noProof/>
          <w:sz w:val="22"/>
        </w:rPr>
        <w:t>2026</w:t>
      </w:r>
      <w:r>
        <w:rPr>
          <w:noProof/>
          <w:sz w:val="22"/>
        </w:rPr>
        <w:t>), forthcoming.</w:t>
      </w:r>
    </w:p>
    <w:p w14:paraId="0E8615A1" w14:textId="77777777" w:rsidR="00490F94" w:rsidRPr="00D92D10" w:rsidRDefault="00490F94" w:rsidP="00490F94">
      <w:pPr>
        <w:spacing w:after="120"/>
        <w:rPr>
          <w:noProof/>
          <w:color w:val="000000" w:themeColor="text1"/>
          <w:sz w:val="20"/>
        </w:rPr>
      </w:pPr>
      <w:r w:rsidRPr="00D92D10">
        <w:rPr>
          <w:noProof/>
          <w:sz w:val="22"/>
        </w:rPr>
        <w:t xml:space="preserve">Ministry of Finance (2025), </w:t>
      </w:r>
      <w:r w:rsidRPr="00D92D10">
        <w:rPr>
          <w:i/>
          <w:iCs/>
          <w:noProof/>
          <w:sz w:val="22"/>
        </w:rPr>
        <w:t>Annual Report of the Department for Tax Justice</w:t>
      </w:r>
      <w:r w:rsidRPr="00D92D10">
        <w:rPr>
          <w:noProof/>
          <w:sz w:val="22"/>
        </w:rPr>
        <w:t xml:space="preserve">, </w:t>
      </w:r>
      <w:hyperlink r:id="rId53" w:history="1">
        <w:r w:rsidRPr="00223270">
          <w:rPr>
            <w:rStyle w:val="Hyperlink"/>
            <w:noProof/>
            <w:sz w:val="22"/>
          </w:rPr>
          <w:t>https://www.dgt.mef.gov.it/gt/it/relazione-annuale-sullo-stato-del-contenzioso-tributario</w:t>
        </w:r>
      </w:hyperlink>
      <w:r w:rsidRPr="00D92D10">
        <w:rPr>
          <w:noProof/>
          <w:sz w:val="22"/>
        </w:rPr>
        <w:t>.</w:t>
      </w:r>
    </w:p>
    <w:p w14:paraId="48F86C46" w14:textId="77777777" w:rsidR="00490F94" w:rsidRPr="008D1BFF" w:rsidRDefault="00490F94" w:rsidP="00490F94">
      <w:pPr>
        <w:spacing w:after="120"/>
        <w:rPr>
          <w:noProof/>
          <w:color w:val="000000" w:themeColor="text1"/>
          <w:sz w:val="22"/>
          <w:u w:val="single"/>
        </w:rPr>
      </w:pPr>
      <w:r w:rsidRPr="008D1BFF">
        <w:rPr>
          <w:noProof/>
          <w:color w:val="000000" w:themeColor="text1"/>
          <w:sz w:val="22"/>
        </w:rPr>
        <w:t xml:space="preserve">Minister of Justice (2026), </w:t>
      </w:r>
      <w:r w:rsidRPr="007C4638">
        <w:rPr>
          <w:i/>
          <w:noProof/>
          <w:color w:val="000000" w:themeColor="text1"/>
          <w:sz w:val="22"/>
        </w:rPr>
        <w:t>Speech at the opening of the judicial year</w:t>
      </w:r>
      <w:r w:rsidRPr="008D1BFF">
        <w:rPr>
          <w:noProof/>
          <w:color w:val="000000" w:themeColor="text1"/>
          <w:sz w:val="22"/>
        </w:rPr>
        <w:t xml:space="preserve">, 30 January 2026 </w:t>
      </w:r>
      <w:hyperlink r:id="rId54" w:history="1">
        <w:r w:rsidRPr="00223270">
          <w:rPr>
            <w:rStyle w:val="Hyperlink"/>
            <w:noProof/>
            <w:sz w:val="22"/>
          </w:rPr>
          <w:t>https://www.giustizia.it/giustizia/page/it/intervento_del_ministro_in_cassazione</w:t>
        </w:r>
      </w:hyperlink>
      <w:r w:rsidRPr="008D1BFF">
        <w:rPr>
          <w:noProof/>
          <w:color w:val="000000" w:themeColor="text1"/>
          <w:sz w:val="22"/>
        </w:rPr>
        <w:t>.</w:t>
      </w:r>
    </w:p>
    <w:p w14:paraId="7D5E8867" w14:textId="77777777" w:rsidR="00490F94" w:rsidRPr="008D1BFF" w:rsidRDefault="00490F94" w:rsidP="00490F94">
      <w:pPr>
        <w:pStyle w:val="FootnoteText"/>
        <w:spacing w:after="120"/>
        <w:rPr>
          <w:noProof/>
          <w:sz w:val="22"/>
          <w:szCs w:val="22"/>
        </w:rPr>
      </w:pPr>
      <w:r w:rsidRPr="008D1BFF">
        <w:rPr>
          <w:noProof/>
          <w:sz w:val="22"/>
          <w:szCs w:val="22"/>
        </w:rPr>
        <w:t xml:space="preserve">Ministry of Justice (2026), </w:t>
      </w:r>
      <w:r w:rsidRPr="007C4638">
        <w:rPr>
          <w:i/>
          <w:iCs/>
          <w:noProof/>
          <w:sz w:val="22"/>
          <w:szCs w:val="22"/>
        </w:rPr>
        <w:t>Report 2025 on the Administration of Justice</w:t>
      </w:r>
      <w:r w:rsidRPr="008D1BFF">
        <w:rPr>
          <w:noProof/>
          <w:sz w:val="22"/>
          <w:szCs w:val="22"/>
        </w:rPr>
        <w:t xml:space="preserve">, available </w:t>
      </w:r>
      <w:hyperlink r:id="rId55" w:history="1">
        <w:r w:rsidRPr="008D1BFF">
          <w:rPr>
            <w:rStyle w:val="Hyperlink"/>
            <w:noProof/>
            <w:sz w:val="22"/>
            <w:szCs w:val="22"/>
          </w:rPr>
          <w:t>here</w:t>
        </w:r>
      </w:hyperlink>
      <w:r w:rsidRPr="008D1BFF">
        <w:rPr>
          <w:noProof/>
          <w:sz w:val="22"/>
          <w:szCs w:val="22"/>
        </w:rPr>
        <w:t>.</w:t>
      </w:r>
    </w:p>
    <w:p w14:paraId="3A1CEABB" w14:textId="22B9F0BF" w:rsidR="00256D65" w:rsidRDefault="00256D65" w:rsidP="00490F94">
      <w:pPr>
        <w:spacing w:after="120"/>
        <w:rPr>
          <w:noProof/>
          <w:sz w:val="22"/>
          <w:lang w:val="it-IT"/>
        </w:rPr>
      </w:pPr>
      <w:r>
        <w:rPr>
          <w:noProof/>
          <w:sz w:val="22"/>
          <w:lang w:val="it-IT"/>
        </w:rPr>
        <w:t>Morrone, Andrea (2025),</w:t>
      </w:r>
      <w:r w:rsidR="0045220B">
        <w:rPr>
          <w:noProof/>
          <w:sz w:val="22"/>
          <w:lang w:val="it-IT"/>
        </w:rPr>
        <w:t xml:space="preserve"> </w:t>
      </w:r>
      <w:r w:rsidR="0045220B" w:rsidRPr="002B3B0A">
        <w:rPr>
          <w:i/>
          <w:iCs/>
          <w:noProof/>
          <w:sz w:val="22"/>
          <w:lang w:val="it-IT"/>
        </w:rPr>
        <w:t xml:space="preserve">On electoral premiership in </w:t>
      </w:r>
      <w:r w:rsidR="00F2145A" w:rsidRPr="002B3B0A">
        <w:rPr>
          <w:i/>
          <w:iCs/>
          <w:noProof/>
          <w:sz w:val="22"/>
          <w:lang w:val="it-IT"/>
        </w:rPr>
        <w:t>constitutional review projects</w:t>
      </w:r>
      <w:r>
        <w:rPr>
          <w:noProof/>
          <w:sz w:val="22"/>
          <w:lang w:val="it-IT"/>
        </w:rPr>
        <w:t xml:space="preserve"> </w:t>
      </w:r>
      <w:r w:rsidR="0045220B">
        <w:rPr>
          <w:noProof/>
          <w:sz w:val="22"/>
          <w:lang w:val="it-IT"/>
        </w:rPr>
        <w:t>(</w:t>
      </w:r>
      <w:r w:rsidRPr="00256D65">
        <w:rPr>
          <w:noProof/>
          <w:sz w:val="22"/>
          <w:lang w:val="it-IT"/>
        </w:rPr>
        <w:t>Sul “premierato elettivo” nei progetti di revisione costituzionale</w:t>
      </w:r>
      <w:r w:rsidR="0045220B">
        <w:rPr>
          <w:noProof/>
          <w:sz w:val="22"/>
          <w:lang w:val="it-IT"/>
        </w:rPr>
        <w:t>)</w:t>
      </w:r>
      <w:r>
        <w:rPr>
          <w:noProof/>
          <w:sz w:val="22"/>
          <w:lang w:val="it-IT"/>
        </w:rPr>
        <w:t>,</w:t>
      </w:r>
      <w:r w:rsidR="00787C63">
        <w:rPr>
          <w:noProof/>
          <w:sz w:val="22"/>
          <w:lang w:val="it-IT"/>
        </w:rPr>
        <w:t xml:space="preserve"> </w:t>
      </w:r>
      <w:r w:rsidR="00787C63" w:rsidRPr="002B3B0A">
        <w:rPr>
          <w:i/>
          <w:iCs/>
          <w:noProof/>
          <w:sz w:val="22"/>
          <w:lang w:val="it-IT"/>
        </w:rPr>
        <w:t>Osservatorio Costituzionale</w:t>
      </w:r>
      <w:r w:rsidR="00787C63">
        <w:rPr>
          <w:noProof/>
          <w:sz w:val="22"/>
          <w:lang w:val="it-IT"/>
        </w:rPr>
        <w:t xml:space="preserve">, July 2025 </w:t>
      </w:r>
      <w:hyperlink r:id="rId56" w:history="1">
        <w:r w:rsidR="001E209C" w:rsidRPr="00CE3476">
          <w:rPr>
            <w:rStyle w:val="Hyperlink"/>
            <w:noProof/>
            <w:sz w:val="22"/>
            <w:lang w:val="it-IT"/>
          </w:rPr>
          <w:t>https://www.osservatorioaic.it/images/rivista/pdf/2025_4_03_Morrone.pdf</w:t>
        </w:r>
      </w:hyperlink>
      <w:r w:rsidR="00835D14">
        <w:rPr>
          <w:noProof/>
          <w:sz w:val="22"/>
          <w:lang w:val="it-IT"/>
        </w:rPr>
        <w:t xml:space="preserve"> </w:t>
      </w:r>
    </w:p>
    <w:p w14:paraId="2EA3C27E" w14:textId="0BA0FD2A" w:rsidR="00490F94" w:rsidRPr="008D1BFF" w:rsidRDefault="00490F94" w:rsidP="00490F94">
      <w:pPr>
        <w:spacing w:after="120"/>
        <w:rPr>
          <w:noProof/>
          <w:color w:val="000000" w:themeColor="text1"/>
          <w:sz w:val="22"/>
          <w:lang w:val="it-IT"/>
        </w:rPr>
      </w:pPr>
      <w:r w:rsidRPr="00916739">
        <w:rPr>
          <w:noProof/>
          <w:sz w:val="22"/>
          <w:lang w:val="it-IT"/>
        </w:rPr>
        <w:t xml:space="preserve">National Association of Magistrates </w:t>
      </w:r>
      <w:r w:rsidRPr="008D1BFF">
        <w:rPr>
          <w:noProof/>
          <w:sz w:val="22"/>
          <w:lang w:val="it-IT"/>
        </w:rPr>
        <w:t>(2026)</w:t>
      </w:r>
      <w:r w:rsidRPr="008D1BFF">
        <w:rPr>
          <w:noProof/>
          <w:color w:val="000000" w:themeColor="text1"/>
          <w:sz w:val="22"/>
          <w:lang w:val="it-IT"/>
        </w:rPr>
        <w:t xml:space="preserve">, </w:t>
      </w:r>
      <w:r w:rsidRPr="008D1BFF">
        <w:rPr>
          <w:i/>
          <w:iCs/>
          <w:noProof/>
          <w:color w:val="000000" w:themeColor="text1"/>
          <w:sz w:val="22"/>
          <w:lang w:val="it-IT"/>
        </w:rPr>
        <w:t>Referendum: toni inaccettabili contro magistrati ma non rispondiamo ad attacchi</w:t>
      </w:r>
      <w:r w:rsidRPr="008D1BFF">
        <w:rPr>
          <w:noProof/>
          <w:color w:val="000000" w:themeColor="text1"/>
          <w:sz w:val="22"/>
          <w:lang w:val="it-IT"/>
        </w:rPr>
        <w:t xml:space="preserve">, </w:t>
      </w:r>
      <w:hyperlink r:id="rId57" w:history="1">
        <w:r w:rsidRPr="00223270">
          <w:rPr>
            <w:rStyle w:val="Hyperlink"/>
            <w:noProof/>
            <w:sz w:val="22"/>
            <w:lang w:val="it-IT"/>
          </w:rPr>
          <w:t>https://www.associazionemagistrati.it/doc/5064/referendum-toni-inaccettabili-contro-magistrati-ma-non-rispondiamo-ad-attacchi.htm</w:t>
        </w:r>
      </w:hyperlink>
      <w:r w:rsidRPr="008D1BFF">
        <w:rPr>
          <w:noProof/>
          <w:color w:val="000000" w:themeColor="text1"/>
          <w:sz w:val="22"/>
          <w:lang w:val="it-IT"/>
        </w:rPr>
        <w:t>.</w:t>
      </w:r>
    </w:p>
    <w:p w14:paraId="5B6924FA" w14:textId="094F6F94" w:rsidR="00490F94" w:rsidRPr="007C4638" w:rsidRDefault="00490F94" w:rsidP="00490F94">
      <w:pPr>
        <w:pStyle w:val="FootnoteText"/>
        <w:spacing w:after="120"/>
        <w:ind w:left="0" w:firstLine="0"/>
        <w:rPr>
          <w:noProof/>
          <w:sz w:val="22"/>
          <w:szCs w:val="22"/>
          <w:lang w:val="en-IE"/>
        </w:rPr>
      </w:pPr>
      <w:r w:rsidRPr="007C4638">
        <w:rPr>
          <w:noProof/>
          <w:sz w:val="22"/>
          <w:szCs w:val="22"/>
          <w:lang w:val="en-IE"/>
        </w:rPr>
        <w:t>National Bar Association (</w:t>
      </w:r>
      <w:r w:rsidRPr="007C4638">
        <w:rPr>
          <w:i/>
          <w:iCs/>
          <w:noProof/>
          <w:sz w:val="22"/>
          <w:szCs w:val="22"/>
          <w:lang w:val="en-IE"/>
        </w:rPr>
        <w:t>Consiglio Nazionale Forense</w:t>
      </w:r>
      <w:r w:rsidRPr="007C4638">
        <w:rPr>
          <w:noProof/>
          <w:sz w:val="22"/>
          <w:szCs w:val="22"/>
          <w:lang w:val="en-IE"/>
        </w:rPr>
        <w:t>) (202</w:t>
      </w:r>
      <w:r w:rsidR="00AC0878">
        <w:rPr>
          <w:noProof/>
          <w:sz w:val="22"/>
          <w:szCs w:val="22"/>
          <w:lang w:val="en-IE"/>
        </w:rPr>
        <w:t>6</w:t>
      </w:r>
      <w:r w:rsidRPr="007C4638">
        <w:rPr>
          <w:noProof/>
          <w:sz w:val="22"/>
          <w:szCs w:val="22"/>
          <w:lang w:val="en-IE"/>
        </w:rPr>
        <w:t>),</w:t>
      </w:r>
      <w:r w:rsidRPr="008D1BFF">
        <w:rPr>
          <w:i/>
          <w:noProof/>
          <w:sz w:val="22"/>
          <w:szCs w:val="22"/>
        </w:rPr>
        <w:t xml:space="preserve"> Contribution from the National Bar </w:t>
      </w:r>
      <w:r w:rsidRPr="00C158A1">
        <w:rPr>
          <w:i/>
          <w:noProof/>
          <w:sz w:val="22"/>
          <w:szCs w:val="22"/>
        </w:rPr>
        <w:t xml:space="preserve">Association for the 2026 Rule of Law Report via the Council of Bars and Law Societies of Europe </w:t>
      </w:r>
      <w:r>
        <w:rPr>
          <w:i/>
          <w:noProof/>
          <w:sz w:val="22"/>
          <w:szCs w:val="22"/>
        </w:rPr>
        <w:t>(</w:t>
      </w:r>
      <w:r w:rsidRPr="00C158A1">
        <w:rPr>
          <w:i/>
          <w:noProof/>
          <w:sz w:val="22"/>
          <w:szCs w:val="22"/>
        </w:rPr>
        <w:t>CCBE</w:t>
      </w:r>
      <w:r>
        <w:rPr>
          <w:i/>
          <w:noProof/>
          <w:sz w:val="22"/>
          <w:szCs w:val="22"/>
        </w:rPr>
        <w:t>)</w:t>
      </w:r>
      <w:r w:rsidRPr="00C158A1">
        <w:rPr>
          <w:noProof/>
          <w:sz w:val="22"/>
          <w:szCs w:val="22"/>
        </w:rPr>
        <w:t>.</w:t>
      </w:r>
    </w:p>
    <w:p w14:paraId="6BBC766A" w14:textId="77777777" w:rsidR="00490F94" w:rsidRPr="007C4638" w:rsidRDefault="00490F94" w:rsidP="00490F94">
      <w:pPr>
        <w:spacing w:after="120"/>
        <w:rPr>
          <w:noProof/>
          <w:sz w:val="22"/>
        </w:rPr>
      </w:pPr>
      <w:r w:rsidRPr="007C4638">
        <w:rPr>
          <w:noProof/>
          <w:sz w:val="22"/>
        </w:rPr>
        <w:t>National Bar Association (</w:t>
      </w:r>
      <w:r w:rsidRPr="007C4638">
        <w:rPr>
          <w:i/>
          <w:iCs/>
          <w:noProof/>
          <w:sz w:val="22"/>
        </w:rPr>
        <w:t>Consiglio Nazionale Forense</w:t>
      </w:r>
      <w:r w:rsidRPr="007C4638">
        <w:rPr>
          <w:noProof/>
          <w:sz w:val="22"/>
        </w:rPr>
        <w:t xml:space="preserve">) (2025), </w:t>
      </w:r>
      <w:r w:rsidRPr="007C4638">
        <w:rPr>
          <w:i/>
          <w:iCs/>
          <w:noProof/>
          <w:sz w:val="22"/>
        </w:rPr>
        <w:t>Budget</w:t>
      </w:r>
      <w:r>
        <w:rPr>
          <w:i/>
          <w:iCs/>
          <w:noProof/>
          <w:sz w:val="22"/>
        </w:rPr>
        <w:t xml:space="preserve"> law</w:t>
      </w:r>
      <w:r w:rsidRPr="007C4638">
        <w:rPr>
          <w:i/>
          <w:iCs/>
          <w:noProof/>
          <w:sz w:val="22"/>
        </w:rPr>
        <w:t xml:space="preserve">, CNF: State-funded legal aid and professional fees are at risk </w:t>
      </w:r>
      <w:r w:rsidRPr="008D1BFF">
        <w:rPr>
          <w:noProof/>
          <w:sz w:val="22"/>
        </w:rPr>
        <w:t>(</w:t>
      </w:r>
      <w:r w:rsidRPr="007C4638">
        <w:rPr>
          <w:noProof/>
          <w:sz w:val="22"/>
        </w:rPr>
        <w:t>Manovra, CNF: “A rischio il patrocinio a spese dello Stato e i compensi dei professionisti”</w:t>
      </w:r>
      <w:r w:rsidRPr="008D1BFF">
        <w:rPr>
          <w:noProof/>
          <w:sz w:val="22"/>
        </w:rPr>
        <w:t>)</w:t>
      </w:r>
      <w:r w:rsidRPr="007C4638">
        <w:rPr>
          <w:noProof/>
          <w:sz w:val="22"/>
        </w:rPr>
        <w:t xml:space="preserve">, press release of 12 December 2025, </w:t>
      </w:r>
      <w:hyperlink r:id="rId58" w:history="1">
        <w:r w:rsidRPr="00223270">
          <w:rPr>
            <w:rStyle w:val="Hyperlink"/>
            <w:noProof/>
            <w:sz w:val="22"/>
          </w:rPr>
          <w:t>https://www.consiglionazionaleforense.it/web/cnf-news/-/24697-387</w:t>
        </w:r>
      </w:hyperlink>
      <w:r w:rsidRPr="007C4638">
        <w:rPr>
          <w:noProof/>
          <w:sz w:val="22"/>
        </w:rPr>
        <w:t>.</w:t>
      </w:r>
    </w:p>
    <w:p w14:paraId="3817BA6B" w14:textId="77777777" w:rsidR="00490F94" w:rsidRPr="007C4638" w:rsidRDefault="00490F94" w:rsidP="00490F94">
      <w:pPr>
        <w:spacing w:after="160" w:line="259" w:lineRule="auto"/>
        <w:jc w:val="left"/>
        <w:rPr>
          <w:noProof/>
          <w:sz w:val="22"/>
        </w:rPr>
      </w:pPr>
      <w:r w:rsidRPr="008D1BFF">
        <w:rPr>
          <w:noProof/>
          <w:sz w:val="22"/>
        </w:rPr>
        <w:t>National School of Administration (2026), Good practices (</w:t>
      </w:r>
      <w:r w:rsidRPr="007C4638">
        <w:rPr>
          <w:i/>
          <w:noProof/>
        </w:rPr>
        <w:t>Buone pratiche</w:t>
      </w:r>
      <w:r w:rsidRPr="007C4638">
        <w:rPr>
          <w:noProof/>
          <w:sz w:val="22"/>
        </w:rPr>
        <w:t xml:space="preserve">), </w:t>
      </w:r>
      <w:hyperlink r:id="rId59" w:history="1">
        <w:r w:rsidRPr="00223270">
          <w:rPr>
            <w:rStyle w:val="Hyperlink"/>
            <w:noProof/>
            <w:sz w:val="22"/>
          </w:rPr>
          <w:t>https://sna.gov.it/home/attivita/comunita-di-pratica/comunita-di-pratica-per-rpct/buone-pratiche/</w:t>
        </w:r>
      </w:hyperlink>
      <w:r w:rsidRPr="007C4638">
        <w:rPr>
          <w:noProof/>
          <w:sz w:val="22"/>
        </w:rPr>
        <w:t>.</w:t>
      </w:r>
    </w:p>
    <w:p w14:paraId="015762BB" w14:textId="77777777" w:rsidR="00490F94" w:rsidRPr="008D1BFF" w:rsidRDefault="00490F94" w:rsidP="00490F94">
      <w:pPr>
        <w:spacing w:after="120"/>
        <w:rPr>
          <w:noProof/>
          <w:sz w:val="22"/>
        </w:rPr>
      </w:pPr>
      <w:r w:rsidRPr="008D1BFF">
        <w:rPr>
          <w:noProof/>
          <w:sz w:val="22"/>
        </w:rPr>
        <w:t xml:space="preserve">Net4Defenders and ARCI (2025), </w:t>
      </w:r>
      <w:r w:rsidRPr="008D1BFF">
        <w:rPr>
          <w:i/>
          <w:iCs/>
          <w:noProof/>
          <w:sz w:val="22"/>
        </w:rPr>
        <w:t>Civic space report 2025 Italy</w:t>
      </w:r>
      <w:r w:rsidRPr="007C4638">
        <w:rPr>
          <w:noProof/>
          <w:sz w:val="22"/>
        </w:rPr>
        <w:t>,</w:t>
      </w:r>
      <w:r w:rsidRPr="008D1BFF">
        <w:rPr>
          <w:noProof/>
          <w:sz w:val="22"/>
        </w:rPr>
        <w:t xml:space="preserve"> November 2025.</w:t>
      </w:r>
    </w:p>
    <w:p w14:paraId="10735AD5" w14:textId="6BEA3CE7" w:rsidR="00490F94" w:rsidRDefault="00490F94" w:rsidP="00490F94">
      <w:pPr>
        <w:spacing w:after="120"/>
        <w:rPr>
          <w:noProof/>
          <w:sz w:val="22"/>
        </w:rPr>
      </w:pPr>
      <w:r w:rsidRPr="008911AE">
        <w:rPr>
          <w:noProof/>
          <w:sz w:val="22"/>
        </w:rPr>
        <w:t xml:space="preserve">OECD (2024), </w:t>
      </w:r>
      <w:r w:rsidRPr="00D71250">
        <w:rPr>
          <w:i/>
          <w:iCs/>
          <w:noProof/>
          <w:sz w:val="22"/>
        </w:rPr>
        <w:t>Implementing the OECD Anti-Bribery Convention Phase 4 Two-Year Follow-Up Report: Italy</w:t>
      </w:r>
      <w:r w:rsidRPr="008911AE">
        <w:rPr>
          <w:noProof/>
          <w:sz w:val="22"/>
        </w:rPr>
        <w:t xml:space="preserve">, </w:t>
      </w:r>
      <w:hyperlink r:id="rId60" w:history="1">
        <w:r w:rsidRPr="00455715">
          <w:rPr>
            <w:rStyle w:val="Hyperlink"/>
            <w:noProof/>
            <w:sz w:val="22"/>
          </w:rPr>
          <w:t>https://www.oecd.org/content/dam/oecd/en/publications/reports/2024/10/implementing-the-oecd-anti-bribery-convention-phase-4-two-year-follow-up-report-italy_65d235f7/5841d4d2-en.pdf</w:t>
        </w:r>
      </w:hyperlink>
      <w:r w:rsidR="00484B4F" w:rsidRPr="006536D8">
        <w:rPr>
          <w:noProof/>
          <w:sz w:val="22"/>
          <w:lang w:eastAsia="en-GB"/>
        </w:rPr>
        <w:t>.</w:t>
      </w:r>
      <w:r>
        <w:rPr>
          <w:noProof/>
          <w:sz w:val="22"/>
        </w:rPr>
        <w:t xml:space="preserve"> </w:t>
      </w:r>
    </w:p>
    <w:p w14:paraId="34704804" w14:textId="77777777" w:rsidR="00490F94" w:rsidRPr="008D1BFF" w:rsidRDefault="00490F94" w:rsidP="00490F94">
      <w:pPr>
        <w:spacing w:after="120"/>
        <w:rPr>
          <w:noProof/>
          <w:sz w:val="22"/>
        </w:rPr>
      </w:pPr>
      <w:r w:rsidRPr="008D1BFF">
        <w:rPr>
          <w:noProof/>
          <w:sz w:val="22"/>
        </w:rPr>
        <w:t xml:space="preserve">Ordine dei Giornalisti (2026), </w:t>
      </w:r>
      <w:bookmarkStart w:id="25" w:name="_Hlk198195012"/>
      <w:r w:rsidRPr="008D1BFF">
        <w:rPr>
          <w:i/>
          <w:noProof/>
          <w:sz w:val="22"/>
        </w:rPr>
        <w:t>Contribution from Ordine dei Giornalisti for the 2026 Rule of Law Report</w:t>
      </w:r>
      <w:bookmarkEnd w:id="25"/>
      <w:r w:rsidRPr="008D1BFF">
        <w:rPr>
          <w:i/>
          <w:noProof/>
          <w:sz w:val="22"/>
        </w:rPr>
        <w:t>.</w:t>
      </w:r>
    </w:p>
    <w:p w14:paraId="52878DFE" w14:textId="6C7D15BC" w:rsidR="00490F94" w:rsidRPr="00D82AE3" w:rsidRDefault="00490F94" w:rsidP="00490F94">
      <w:pPr>
        <w:spacing w:after="120"/>
        <w:rPr>
          <w:noProof/>
          <w:sz w:val="22"/>
        </w:rPr>
      </w:pPr>
      <w:r w:rsidRPr="00D82AE3">
        <w:rPr>
          <w:noProof/>
          <w:sz w:val="22"/>
        </w:rPr>
        <w:t xml:space="preserve">Osservatorio Balcani Caucaso Transeuropa </w:t>
      </w:r>
      <w:r w:rsidR="000E7350" w:rsidRPr="00D82AE3">
        <w:rPr>
          <w:noProof/>
          <w:sz w:val="22"/>
        </w:rPr>
        <w:t>OB</w:t>
      </w:r>
      <w:r w:rsidR="000E7350" w:rsidRPr="002B3B0A">
        <w:rPr>
          <w:noProof/>
          <w:sz w:val="22"/>
        </w:rPr>
        <w:t xml:space="preserve">CT </w:t>
      </w:r>
      <w:r w:rsidRPr="00D82AE3">
        <w:rPr>
          <w:noProof/>
          <w:sz w:val="22"/>
        </w:rPr>
        <w:t xml:space="preserve">(2026), </w:t>
      </w:r>
      <w:r w:rsidRPr="00D82AE3">
        <w:rPr>
          <w:i/>
          <w:noProof/>
          <w:sz w:val="22"/>
        </w:rPr>
        <w:t>Contribution from Osservatorio Balcani Caucaso Transeuropa for the 2026 Rule of Law Report.</w:t>
      </w:r>
    </w:p>
    <w:p w14:paraId="355F24E0" w14:textId="77777777" w:rsidR="00490F94" w:rsidRPr="007C4638" w:rsidRDefault="00490F94" w:rsidP="00490F94">
      <w:pPr>
        <w:spacing w:after="120"/>
        <w:rPr>
          <w:noProof/>
          <w:sz w:val="22"/>
          <w:lang w:val="en-IE"/>
        </w:rPr>
      </w:pPr>
      <w:r w:rsidRPr="007C4638">
        <w:rPr>
          <w:noProof/>
          <w:sz w:val="22"/>
          <w:lang w:val="en-IE"/>
        </w:rPr>
        <w:t xml:space="preserve">Ossigeno per l’informazione (2026), </w:t>
      </w:r>
      <w:r w:rsidRPr="007C4638">
        <w:rPr>
          <w:i/>
          <w:noProof/>
          <w:sz w:val="22"/>
          <w:lang w:val="en-IE"/>
        </w:rPr>
        <w:t>Contribution from Ossigeno per l’informazione for the 2026 Rule of Law Report.</w:t>
      </w:r>
    </w:p>
    <w:p w14:paraId="1E166E35" w14:textId="77777777" w:rsidR="00490F94" w:rsidRPr="008D1BFF" w:rsidRDefault="00490F94" w:rsidP="00490F94">
      <w:pPr>
        <w:spacing w:after="120"/>
        <w:rPr>
          <w:noProof/>
          <w:sz w:val="22"/>
        </w:rPr>
      </w:pPr>
      <w:r w:rsidRPr="008D1BFF">
        <w:rPr>
          <w:noProof/>
          <w:color w:val="000000" w:themeColor="text1"/>
          <w:sz w:val="22"/>
        </w:rPr>
        <w:t xml:space="preserve">President of the Republic (2026), </w:t>
      </w:r>
      <w:r w:rsidRPr="007C4638">
        <w:rPr>
          <w:i/>
          <w:iCs/>
          <w:noProof/>
          <w:color w:val="000000" w:themeColor="text1"/>
          <w:sz w:val="22"/>
        </w:rPr>
        <w:t xml:space="preserve">Speech </w:t>
      </w:r>
      <w:r w:rsidRPr="007C4638">
        <w:rPr>
          <w:i/>
          <w:iCs/>
          <w:noProof/>
          <w:sz w:val="22"/>
        </w:rPr>
        <w:t>at the plenary of the High Council of the Judiciary</w:t>
      </w:r>
      <w:r w:rsidRPr="008D1BFF">
        <w:rPr>
          <w:noProof/>
          <w:sz w:val="22"/>
        </w:rPr>
        <w:t xml:space="preserve">, 18 February 2026, </w:t>
      </w:r>
      <w:hyperlink r:id="rId61" w:history="1">
        <w:r w:rsidRPr="00223270">
          <w:rPr>
            <w:rStyle w:val="Hyperlink"/>
            <w:noProof/>
            <w:sz w:val="22"/>
          </w:rPr>
          <w:t>https://www.quirinale.it/elementi/151430</w:t>
        </w:r>
      </w:hyperlink>
      <w:r w:rsidRPr="008D1BFF">
        <w:rPr>
          <w:noProof/>
          <w:sz w:val="22"/>
        </w:rPr>
        <w:t>.</w:t>
      </w:r>
    </w:p>
    <w:p w14:paraId="460324E0" w14:textId="77777777" w:rsidR="00490F94" w:rsidRPr="008D1BFF" w:rsidRDefault="00490F94" w:rsidP="00490F94">
      <w:pPr>
        <w:spacing w:after="120"/>
        <w:rPr>
          <w:noProof/>
          <w:sz w:val="22"/>
        </w:rPr>
      </w:pPr>
      <w:r w:rsidRPr="008D1BFF">
        <w:rPr>
          <w:noProof/>
          <w:sz w:val="22"/>
        </w:rPr>
        <w:t xml:space="preserve">RAI (2026), </w:t>
      </w:r>
      <w:bookmarkStart w:id="26" w:name="_Hlk198194926"/>
      <w:r w:rsidRPr="008D1BFF">
        <w:rPr>
          <w:i/>
          <w:noProof/>
          <w:sz w:val="22"/>
        </w:rPr>
        <w:t>Contribution from RAI for the 2026 Rule of Law Report</w:t>
      </w:r>
      <w:bookmarkEnd w:id="26"/>
      <w:r w:rsidRPr="008D1BFF">
        <w:rPr>
          <w:noProof/>
          <w:sz w:val="22"/>
        </w:rPr>
        <w:t>.</w:t>
      </w:r>
    </w:p>
    <w:p w14:paraId="23EBDAA5" w14:textId="3D441434" w:rsidR="000E7350" w:rsidRPr="008D1BFF" w:rsidRDefault="000E7350" w:rsidP="000E7350">
      <w:pPr>
        <w:spacing w:after="120"/>
        <w:rPr>
          <w:noProof/>
          <w:sz w:val="22"/>
        </w:rPr>
      </w:pPr>
      <w:r w:rsidRPr="008D1BFF">
        <w:rPr>
          <w:noProof/>
          <w:sz w:val="22"/>
        </w:rPr>
        <w:t xml:space="preserve">RAI (2026a), </w:t>
      </w:r>
      <w:r w:rsidRPr="008D1BFF">
        <w:rPr>
          <w:i/>
          <w:iCs/>
          <w:noProof/>
          <w:sz w:val="22"/>
        </w:rPr>
        <w:t xml:space="preserve">Additional </w:t>
      </w:r>
      <w:r>
        <w:rPr>
          <w:i/>
          <w:iCs/>
          <w:noProof/>
          <w:sz w:val="22"/>
        </w:rPr>
        <w:t>contribution</w:t>
      </w:r>
      <w:r w:rsidRPr="008D1BFF">
        <w:rPr>
          <w:i/>
          <w:iCs/>
          <w:noProof/>
          <w:sz w:val="22"/>
        </w:rPr>
        <w:t xml:space="preserve"> </w:t>
      </w:r>
      <w:r w:rsidRPr="00AD700E">
        <w:rPr>
          <w:i/>
          <w:iCs/>
          <w:noProof/>
          <w:sz w:val="22"/>
        </w:rPr>
        <w:t>in the context of the country visit.</w:t>
      </w:r>
    </w:p>
    <w:p w14:paraId="01AA91A7" w14:textId="77777777" w:rsidR="00490F94" w:rsidRPr="008D1BFF" w:rsidRDefault="00490F94" w:rsidP="00490F94">
      <w:pPr>
        <w:spacing w:after="120"/>
        <w:rPr>
          <w:noProof/>
          <w:color w:val="FF0000"/>
          <w:sz w:val="22"/>
        </w:rPr>
      </w:pPr>
      <w:r w:rsidRPr="007C4638">
        <w:rPr>
          <w:noProof/>
          <w:color w:val="000000" w:themeColor="text1"/>
          <w:sz w:val="22"/>
        </w:rPr>
        <w:t>ReCommon (2026),</w:t>
      </w:r>
      <w:r w:rsidRPr="007C4638">
        <w:rPr>
          <w:i/>
          <w:noProof/>
          <w:color w:val="000000" w:themeColor="text1"/>
          <w:sz w:val="22"/>
        </w:rPr>
        <w:t xml:space="preserve"> </w:t>
      </w:r>
      <w:r w:rsidRPr="008D1BFF">
        <w:rPr>
          <w:i/>
          <w:noProof/>
          <w:sz w:val="22"/>
        </w:rPr>
        <w:t>Contribution from ReCommon for the 2026 Rule of Law Report</w:t>
      </w:r>
      <w:r w:rsidRPr="008D1BFF">
        <w:rPr>
          <w:noProof/>
          <w:sz w:val="22"/>
        </w:rPr>
        <w:t>.</w:t>
      </w:r>
    </w:p>
    <w:p w14:paraId="07A252D8" w14:textId="77777777" w:rsidR="00490F94" w:rsidRPr="008D1BFF" w:rsidRDefault="00490F94" w:rsidP="00490F94">
      <w:pPr>
        <w:spacing w:after="120"/>
        <w:rPr>
          <w:i/>
          <w:noProof/>
          <w:sz w:val="22"/>
        </w:rPr>
      </w:pPr>
      <w:r w:rsidRPr="00D92D10">
        <w:rPr>
          <w:noProof/>
          <w:sz w:val="22"/>
        </w:rPr>
        <w:t xml:space="preserve">Reporters Without Borders </w:t>
      </w:r>
      <w:r w:rsidRPr="008D1BFF">
        <w:rPr>
          <w:noProof/>
          <w:sz w:val="22"/>
        </w:rPr>
        <w:t xml:space="preserve">(2026), </w:t>
      </w:r>
      <w:r w:rsidRPr="008D1BFF">
        <w:rPr>
          <w:i/>
          <w:noProof/>
          <w:sz w:val="22"/>
        </w:rPr>
        <w:t xml:space="preserve">Contribution from </w:t>
      </w:r>
      <w:r w:rsidRPr="00DB3AE9">
        <w:rPr>
          <w:i/>
          <w:noProof/>
          <w:sz w:val="22"/>
        </w:rPr>
        <w:t xml:space="preserve">Reporters Without Borders </w:t>
      </w:r>
      <w:r w:rsidRPr="008D1BFF">
        <w:rPr>
          <w:i/>
          <w:noProof/>
          <w:sz w:val="22"/>
        </w:rPr>
        <w:t>for the 2026 Rule of Law Report.</w:t>
      </w:r>
    </w:p>
    <w:p w14:paraId="7950CB29" w14:textId="77777777" w:rsidR="00490F94" w:rsidRPr="00137BF0" w:rsidRDefault="00490F94" w:rsidP="00490F94">
      <w:pPr>
        <w:spacing w:after="120"/>
        <w:rPr>
          <w:noProof/>
          <w:sz w:val="22"/>
          <w:lang w:val="en-IE"/>
        </w:rPr>
      </w:pPr>
      <w:r w:rsidRPr="007C4638">
        <w:rPr>
          <w:iCs/>
          <w:noProof/>
          <w:sz w:val="22"/>
          <w:lang w:val="en-IE"/>
        </w:rPr>
        <w:t>Se</w:t>
      </w:r>
      <w:r w:rsidRPr="008D1BFF">
        <w:rPr>
          <w:iCs/>
          <w:noProof/>
          <w:sz w:val="22"/>
          <w:lang w:val="en-IE"/>
        </w:rPr>
        <w:t>nate of the Republic</w:t>
      </w:r>
      <w:r w:rsidRPr="007C4638">
        <w:rPr>
          <w:iCs/>
          <w:noProof/>
          <w:sz w:val="22"/>
          <w:lang w:val="en-IE"/>
        </w:rPr>
        <w:t xml:space="preserve">, Draft law </w:t>
      </w:r>
      <w:hyperlink r:id="rId62" w:history="1">
        <w:r w:rsidRPr="007C4638">
          <w:rPr>
            <w:rStyle w:val="Hyperlink"/>
            <w:iCs/>
            <w:noProof/>
            <w:sz w:val="22"/>
            <w:lang w:val="en-IE"/>
          </w:rPr>
          <w:t>A.S. 1353</w:t>
        </w:r>
      </w:hyperlink>
      <w:r w:rsidRPr="00D92D10">
        <w:rPr>
          <w:iCs/>
          <w:noProof/>
          <w:sz w:val="22"/>
          <w:lang w:val="en-IE"/>
        </w:rPr>
        <w:t>.</w:t>
      </w:r>
    </w:p>
    <w:p w14:paraId="2B8ED88D" w14:textId="77777777" w:rsidR="00490F94" w:rsidRDefault="00490F94" w:rsidP="00490F94">
      <w:pPr>
        <w:spacing w:after="120"/>
        <w:rPr>
          <w:noProof/>
          <w:sz w:val="22"/>
          <w:lang w:val="en-IE" w:eastAsia="en-GB"/>
        </w:rPr>
      </w:pPr>
      <w:r w:rsidRPr="008D1BFF">
        <w:rPr>
          <w:iCs/>
          <w:noProof/>
          <w:sz w:val="22"/>
          <w:lang w:val="en-IE"/>
        </w:rPr>
        <w:t xml:space="preserve">Senate of the Republic, </w:t>
      </w:r>
      <w:r w:rsidRPr="007C4638">
        <w:rPr>
          <w:noProof/>
          <w:sz w:val="22"/>
          <w:lang w:val="en-IE" w:eastAsia="en-GB"/>
        </w:rPr>
        <w:t xml:space="preserve">Draft law </w:t>
      </w:r>
      <w:hyperlink r:id="rId63" w:history="1">
        <w:r w:rsidRPr="007C4638">
          <w:rPr>
            <w:rStyle w:val="Hyperlink"/>
            <w:noProof/>
            <w:sz w:val="22"/>
            <w:lang w:val="en-IE" w:eastAsia="en-GB"/>
          </w:rPr>
          <w:t>A.S. 505</w:t>
        </w:r>
      </w:hyperlink>
      <w:r w:rsidRPr="007C4638">
        <w:rPr>
          <w:noProof/>
          <w:sz w:val="22"/>
          <w:lang w:val="en-IE" w:eastAsia="en-GB"/>
        </w:rPr>
        <w:t>.</w:t>
      </w:r>
    </w:p>
    <w:p w14:paraId="22165CBC" w14:textId="77C7EA13" w:rsidR="00490F94" w:rsidRPr="007C4638" w:rsidRDefault="00490F94" w:rsidP="00490F94">
      <w:pPr>
        <w:spacing w:after="120"/>
        <w:rPr>
          <w:noProof/>
          <w:sz w:val="22"/>
          <w:lang w:val="en-IE" w:eastAsia="en-GB"/>
        </w:rPr>
      </w:pPr>
      <w:r>
        <w:rPr>
          <w:noProof/>
          <w:sz w:val="22"/>
          <w:lang w:val="en-IE" w:eastAsia="en-GB"/>
        </w:rPr>
        <w:t xml:space="preserve">Senate of the Republic (2026), </w:t>
      </w:r>
      <w:r w:rsidRPr="00C158A1">
        <w:rPr>
          <w:i/>
          <w:iCs/>
          <w:noProof/>
          <w:sz w:val="22"/>
          <w:lang w:val="en-IE" w:eastAsia="en-GB"/>
        </w:rPr>
        <w:t>Statistics on legislative activity</w:t>
      </w:r>
      <w:r>
        <w:rPr>
          <w:noProof/>
          <w:sz w:val="22"/>
          <w:lang w:val="en-IE" w:eastAsia="en-GB"/>
        </w:rPr>
        <w:t xml:space="preserve">, </w:t>
      </w:r>
      <w:hyperlink r:id="rId64" w:history="1">
        <w:r w:rsidRPr="00223270">
          <w:rPr>
            <w:rStyle w:val="Hyperlink"/>
            <w:noProof/>
            <w:sz w:val="22"/>
            <w:lang w:val="en-IE" w:eastAsia="en-GB"/>
          </w:rPr>
          <w:t>https://www.senato.it/leggi-e-documenti/statistiche/statistiche-sullattivita-legislativa/leggi-distinte-per-natura</w:t>
        </w:r>
      </w:hyperlink>
      <w:r>
        <w:rPr>
          <w:noProof/>
          <w:sz w:val="22"/>
          <w:lang w:val="en-IE" w:eastAsia="en-GB"/>
        </w:rPr>
        <w:t xml:space="preserve">,  </w:t>
      </w:r>
      <w:hyperlink r:id="rId65" w:history="1">
        <w:r w:rsidRPr="00223270">
          <w:rPr>
            <w:rStyle w:val="Hyperlink"/>
            <w:noProof/>
            <w:sz w:val="22"/>
            <w:lang w:val="en-IE" w:eastAsia="en-GB"/>
          </w:rPr>
          <w:t>https://www.senato.it/leg/19/BGT/Schede/Statistiche/Leggi/DDLLeggiApprovate.html</w:t>
        </w:r>
      </w:hyperlink>
      <w:r>
        <w:rPr>
          <w:noProof/>
          <w:sz w:val="22"/>
          <w:lang w:val="en-IE" w:eastAsia="en-GB"/>
        </w:rPr>
        <w:t>.</w:t>
      </w:r>
    </w:p>
    <w:p w14:paraId="4EF06506" w14:textId="77777777" w:rsidR="00490F94" w:rsidRPr="008D1BFF" w:rsidRDefault="00490F94" w:rsidP="00490F94">
      <w:pPr>
        <w:spacing w:after="120"/>
        <w:rPr>
          <w:noProof/>
          <w:sz w:val="22"/>
          <w:lang w:eastAsia="en-GB"/>
        </w:rPr>
      </w:pPr>
      <w:r w:rsidRPr="007C4638">
        <w:rPr>
          <w:noProof/>
          <w:color w:val="000000" w:themeColor="text1"/>
          <w:sz w:val="22"/>
        </w:rPr>
        <w:t>The Good Lobby (2026</w:t>
      </w:r>
      <w:r w:rsidRPr="008D1BFF">
        <w:rPr>
          <w:noProof/>
          <w:sz w:val="22"/>
        </w:rPr>
        <w:t xml:space="preserve">), </w:t>
      </w:r>
      <w:r w:rsidRPr="008D1BFF">
        <w:rPr>
          <w:i/>
          <w:noProof/>
          <w:sz w:val="22"/>
        </w:rPr>
        <w:t>Contribution from The Good Lobby for the 2026 Rule of Law Report.</w:t>
      </w:r>
    </w:p>
    <w:p w14:paraId="77607104" w14:textId="77777777" w:rsidR="00490F94" w:rsidRPr="008D1BFF" w:rsidRDefault="00490F94" w:rsidP="00490F94">
      <w:pPr>
        <w:spacing w:after="120"/>
        <w:rPr>
          <w:noProof/>
          <w:sz w:val="22"/>
          <w:lang w:eastAsia="en-GB"/>
        </w:rPr>
      </w:pPr>
      <w:r w:rsidRPr="007C4638">
        <w:rPr>
          <w:noProof/>
          <w:color w:val="000000" w:themeColor="text1"/>
          <w:sz w:val="22"/>
        </w:rPr>
        <w:t>Transparency International (2026</w:t>
      </w:r>
      <w:r w:rsidRPr="008D1BFF">
        <w:rPr>
          <w:noProof/>
          <w:sz w:val="22"/>
        </w:rPr>
        <w:t xml:space="preserve">), </w:t>
      </w:r>
      <w:r w:rsidRPr="008D1BFF">
        <w:rPr>
          <w:i/>
          <w:noProof/>
          <w:sz w:val="22"/>
        </w:rPr>
        <w:t>Contribution from Transparency International for the 2026 Rule of Law Report.</w:t>
      </w:r>
    </w:p>
    <w:p w14:paraId="49DC9E7D" w14:textId="4B6BDD47" w:rsidR="00490F94" w:rsidRPr="005E6CED" w:rsidRDefault="00490F94" w:rsidP="00490F94">
      <w:pPr>
        <w:pStyle w:val="FootnoteText"/>
        <w:spacing w:after="120"/>
        <w:ind w:left="0" w:firstLine="0"/>
        <w:rPr>
          <w:noProof/>
          <w:sz w:val="22"/>
          <w:szCs w:val="22"/>
        </w:rPr>
      </w:pPr>
      <w:r w:rsidRPr="008D1BFF">
        <w:rPr>
          <w:noProof/>
          <w:sz w:val="22"/>
          <w:szCs w:val="22"/>
        </w:rPr>
        <w:t xml:space="preserve">Venice Commission (2025), </w:t>
      </w:r>
      <w:r w:rsidRPr="007C4638">
        <w:rPr>
          <w:i/>
          <w:iCs/>
          <w:noProof/>
          <w:sz w:val="22"/>
          <w:szCs w:val="22"/>
        </w:rPr>
        <w:t>Spain - Opinion on the manner of election of the judicial members of the General Council of the Judiciary</w:t>
      </w:r>
      <w:r w:rsidRPr="008D1BFF">
        <w:rPr>
          <w:noProof/>
          <w:sz w:val="22"/>
          <w:szCs w:val="22"/>
        </w:rPr>
        <w:t xml:space="preserve">, 13 October 2025, </w:t>
      </w:r>
      <w:r w:rsidRPr="005E6CED">
        <w:rPr>
          <w:noProof/>
          <w:sz w:val="22"/>
          <w:szCs w:val="22"/>
        </w:rPr>
        <w:t>CDL-AD(2025)038</w:t>
      </w:r>
      <w:r>
        <w:rPr>
          <w:noProof/>
        </w:rPr>
        <w:t xml:space="preserve">, </w:t>
      </w:r>
      <w:hyperlink r:id="rId66" w:history="1">
        <w:r w:rsidRPr="005E6CED">
          <w:rPr>
            <w:rStyle w:val="Hyperlink"/>
            <w:noProof/>
            <w:sz w:val="22"/>
            <w:szCs w:val="22"/>
          </w:rPr>
          <w:t>https://www.venice.coe.int/webforms/documents/default.aspx?pdffile=CDL-AD(2025)038-e</w:t>
        </w:r>
      </w:hyperlink>
      <w:r w:rsidRPr="005E6CED">
        <w:rPr>
          <w:noProof/>
          <w:sz w:val="22"/>
          <w:szCs w:val="22"/>
        </w:rPr>
        <w:t xml:space="preserve">. </w:t>
      </w:r>
    </w:p>
    <w:p w14:paraId="70ECD078" w14:textId="2C502B2B" w:rsidR="00490F94" w:rsidRPr="00D92D10" w:rsidRDefault="00490F94" w:rsidP="00490F94">
      <w:pPr>
        <w:spacing w:after="120"/>
        <w:rPr>
          <w:noProof/>
          <w:sz w:val="22"/>
          <w:lang w:val="en-IE"/>
        </w:rPr>
      </w:pPr>
      <w:r w:rsidRPr="008D1BFF">
        <w:rPr>
          <w:noProof/>
          <w:sz w:val="22"/>
          <w:szCs w:val="22"/>
        </w:rPr>
        <w:t xml:space="preserve">Venturi, Filippo (2026), </w:t>
      </w:r>
      <w:r w:rsidRPr="007C4638">
        <w:rPr>
          <w:i/>
          <w:iCs/>
          <w:noProof/>
          <w:sz w:val="22"/>
          <w:szCs w:val="22"/>
        </w:rPr>
        <w:t xml:space="preserve">The </w:t>
      </w:r>
      <w:r w:rsidRPr="008D1BFF">
        <w:rPr>
          <w:i/>
          <w:iCs/>
          <w:noProof/>
          <w:sz w:val="22"/>
          <w:szCs w:val="22"/>
        </w:rPr>
        <w:t>securitarian turn in Italian criminal law</w:t>
      </w:r>
      <w:r w:rsidRPr="008D1BFF">
        <w:rPr>
          <w:noProof/>
          <w:sz w:val="22"/>
          <w:szCs w:val="22"/>
        </w:rPr>
        <w:t xml:space="preserve">, </w:t>
      </w:r>
      <w:r w:rsidRPr="002B3B0A">
        <w:rPr>
          <w:noProof/>
          <w:sz w:val="22"/>
          <w:szCs w:val="22"/>
        </w:rPr>
        <w:t>Verfassungsblog</w:t>
      </w:r>
      <w:r w:rsidRPr="008D1BFF">
        <w:rPr>
          <w:noProof/>
          <w:sz w:val="22"/>
          <w:szCs w:val="22"/>
        </w:rPr>
        <w:t xml:space="preserve">, 26 February 2026, </w:t>
      </w:r>
      <w:hyperlink r:id="rId67" w:history="1">
        <w:r w:rsidRPr="00223270">
          <w:rPr>
            <w:rStyle w:val="Hyperlink"/>
            <w:noProof/>
            <w:sz w:val="22"/>
            <w:szCs w:val="22"/>
          </w:rPr>
          <w:t>https://verfassungsblog.de/the-securitarian-turn-in-italian-criminal-law/</w:t>
        </w:r>
      </w:hyperlink>
      <w:r w:rsidRPr="008D1BFF">
        <w:rPr>
          <w:noProof/>
          <w:sz w:val="22"/>
          <w:szCs w:val="22"/>
        </w:rPr>
        <w:t>.</w:t>
      </w:r>
    </w:p>
    <w:p w14:paraId="480683A1" w14:textId="77777777" w:rsidR="00490F94" w:rsidRPr="00D92D10" w:rsidRDefault="00490F94" w:rsidP="00490F94">
      <w:pPr>
        <w:spacing w:after="160" w:line="259" w:lineRule="auto"/>
        <w:jc w:val="left"/>
        <w:rPr>
          <w:noProof/>
          <w:sz w:val="22"/>
          <w:lang w:val="en-IE" w:eastAsia="en-GB"/>
        </w:rPr>
      </w:pPr>
    </w:p>
    <w:p w14:paraId="3CF49107" w14:textId="77777777" w:rsidR="00490F94" w:rsidRPr="00703B6E" w:rsidRDefault="00490F94" w:rsidP="00490F94">
      <w:pPr>
        <w:pageBreakBefore/>
        <w:spacing w:after="120" w:line="264" w:lineRule="auto"/>
        <w:rPr>
          <w:b/>
          <w:noProof/>
          <w:lang w:eastAsia="en-GB"/>
        </w:rPr>
      </w:pPr>
      <w:r w:rsidRPr="00703B6E">
        <w:rPr>
          <w:b/>
          <w:noProof/>
          <w:lang w:eastAsia="en-GB"/>
        </w:rPr>
        <w:t>Annex II: Country visit to Italy</w:t>
      </w:r>
    </w:p>
    <w:p w14:paraId="0D6C95B5" w14:textId="77777777" w:rsidR="00490F94" w:rsidRPr="00703B6E" w:rsidRDefault="00490F94" w:rsidP="00490F94">
      <w:pPr>
        <w:spacing w:after="120" w:line="264" w:lineRule="auto"/>
        <w:rPr>
          <w:noProof/>
          <w:shd w:val="clear" w:color="auto" w:fill="FFFFFF"/>
          <w:lang w:eastAsia="en-GB"/>
        </w:rPr>
      </w:pPr>
      <w:r w:rsidRPr="00703B6E">
        <w:rPr>
          <w:noProof/>
          <w:lang w:eastAsia="en-GB"/>
        </w:rPr>
        <w:t>The Commission services held virtual meetings in February 2026 with:</w:t>
      </w:r>
    </w:p>
    <w:p w14:paraId="19B80444"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703B6E">
        <w:rPr>
          <w:noProof/>
          <w:szCs w:val="24"/>
          <w:bdr w:val="none" w:sz="0" w:space="0" w:color="auto" w:frame="1"/>
        </w:rPr>
        <w:t>Anti-corruption Unit of the Financial Police (</w:t>
      </w:r>
      <w:r w:rsidRPr="00703B6E">
        <w:rPr>
          <w:i/>
          <w:iCs/>
          <w:noProof/>
          <w:szCs w:val="24"/>
          <w:bdr w:val="none" w:sz="0" w:space="0" w:color="auto" w:frame="1"/>
        </w:rPr>
        <w:t>Guardia di Finanza</w:t>
      </w:r>
      <w:r w:rsidRPr="00703B6E">
        <w:rPr>
          <w:noProof/>
          <w:szCs w:val="24"/>
          <w:bdr w:val="none" w:sz="0" w:space="0" w:color="auto" w:frame="1"/>
        </w:rPr>
        <w:t>)</w:t>
      </w:r>
    </w:p>
    <w:p w14:paraId="4388716E"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703B6E">
        <w:rPr>
          <w:noProof/>
          <w:szCs w:val="24"/>
          <w:bdr w:val="none" w:sz="0" w:space="0" w:color="auto" w:frame="1"/>
        </w:rPr>
        <w:t>Association Antigone</w:t>
      </w:r>
    </w:p>
    <w:p w14:paraId="647462CC" w14:textId="77777777" w:rsidR="00490F94" w:rsidRPr="00703B6E" w:rsidRDefault="00490F94" w:rsidP="00490F94">
      <w:pPr>
        <w:numPr>
          <w:ilvl w:val="0"/>
          <w:numId w:val="21"/>
        </w:numPr>
        <w:spacing w:line="256" w:lineRule="auto"/>
        <w:contextualSpacing/>
        <w:rPr>
          <w:i/>
          <w:iCs/>
          <w:noProof/>
          <w:szCs w:val="24"/>
          <w:bdr w:val="none" w:sz="0" w:space="0" w:color="auto" w:frame="1"/>
        </w:rPr>
      </w:pPr>
      <w:r w:rsidRPr="00703B6E">
        <w:rPr>
          <w:i/>
          <w:iCs/>
          <w:noProof/>
          <w:szCs w:val="24"/>
          <w:bdr w:val="none" w:sz="0" w:space="0" w:color="auto" w:frame="1"/>
        </w:rPr>
        <w:t>Associazione Articolo 21</w:t>
      </w:r>
    </w:p>
    <w:p w14:paraId="5FFF2425" w14:textId="77777777" w:rsidR="00490F94" w:rsidRPr="00F0160E" w:rsidRDefault="00490F94" w:rsidP="00490F94">
      <w:pPr>
        <w:numPr>
          <w:ilvl w:val="0"/>
          <w:numId w:val="21"/>
        </w:numPr>
        <w:spacing w:line="256" w:lineRule="auto"/>
        <w:contextualSpacing/>
        <w:rPr>
          <w:noProof/>
          <w:szCs w:val="24"/>
          <w:bdr w:val="none" w:sz="0" w:space="0" w:color="auto" w:frame="1"/>
          <w:lang w:val="it-IT"/>
        </w:rPr>
      </w:pPr>
      <w:r w:rsidRPr="00F0160E">
        <w:rPr>
          <w:i/>
          <w:iCs/>
          <w:noProof/>
          <w:szCs w:val="24"/>
          <w:bdr w:val="none" w:sz="0" w:space="0" w:color="auto" w:frame="1"/>
          <w:lang w:val="it-IT"/>
        </w:rPr>
        <w:t>Associazione Ricreativa e Culturale Italiana</w:t>
      </w:r>
      <w:r w:rsidRPr="00F0160E">
        <w:rPr>
          <w:noProof/>
          <w:szCs w:val="24"/>
          <w:bdr w:val="none" w:sz="0" w:space="0" w:color="auto" w:frame="1"/>
          <w:lang w:val="it-IT"/>
        </w:rPr>
        <w:t xml:space="preserve"> (ARCI)</w:t>
      </w:r>
    </w:p>
    <w:p w14:paraId="5A1A78D4" w14:textId="77777777" w:rsidR="00490F94" w:rsidRPr="00F0160E" w:rsidRDefault="00490F94" w:rsidP="00490F94">
      <w:pPr>
        <w:numPr>
          <w:ilvl w:val="0"/>
          <w:numId w:val="21"/>
        </w:numPr>
        <w:spacing w:line="256" w:lineRule="auto"/>
        <w:contextualSpacing/>
        <w:rPr>
          <w:noProof/>
          <w:szCs w:val="24"/>
          <w:bdr w:val="none" w:sz="0" w:space="0" w:color="auto" w:frame="1"/>
          <w:lang w:val="it-IT"/>
        </w:rPr>
      </w:pPr>
      <w:r w:rsidRPr="00F0160E">
        <w:rPr>
          <w:noProof/>
          <w:szCs w:val="24"/>
          <w:bdr w:val="none" w:sz="0" w:space="0" w:color="auto" w:frame="1"/>
          <w:lang w:val="it-IT"/>
        </w:rPr>
        <w:t>Association of Journalists (</w:t>
      </w:r>
      <w:r w:rsidRPr="00F0160E">
        <w:rPr>
          <w:i/>
          <w:iCs/>
          <w:noProof/>
          <w:szCs w:val="24"/>
          <w:bdr w:val="none" w:sz="0" w:space="0" w:color="auto" w:frame="1"/>
          <w:lang w:val="it-IT"/>
        </w:rPr>
        <w:t>Ordine dei Giornalisti</w:t>
      </w:r>
      <w:r w:rsidRPr="00F0160E">
        <w:rPr>
          <w:noProof/>
          <w:szCs w:val="24"/>
          <w:bdr w:val="none" w:sz="0" w:space="0" w:color="auto" w:frame="1"/>
          <w:lang w:val="it-IT"/>
        </w:rPr>
        <w:t>)</w:t>
      </w:r>
    </w:p>
    <w:p w14:paraId="449A519B" w14:textId="77777777" w:rsidR="00490F94" w:rsidRPr="00F0160E" w:rsidRDefault="00490F94" w:rsidP="00490F94">
      <w:pPr>
        <w:numPr>
          <w:ilvl w:val="0"/>
          <w:numId w:val="21"/>
        </w:numPr>
        <w:spacing w:line="256" w:lineRule="auto"/>
        <w:contextualSpacing/>
        <w:rPr>
          <w:noProof/>
          <w:szCs w:val="24"/>
          <w:bdr w:val="none" w:sz="0" w:space="0" w:color="auto" w:frame="1"/>
          <w:lang w:val="it-IT"/>
        </w:rPr>
      </w:pPr>
      <w:r w:rsidRPr="00F0160E">
        <w:rPr>
          <w:noProof/>
          <w:szCs w:val="24"/>
          <w:bdr w:val="none" w:sz="0" w:space="0" w:color="auto" w:frame="1"/>
          <w:lang w:val="it-IT"/>
        </w:rPr>
        <w:t>Board of the Tax Courts (</w:t>
      </w:r>
      <w:r w:rsidRPr="00F0160E">
        <w:rPr>
          <w:i/>
          <w:iCs/>
          <w:noProof/>
          <w:szCs w:val="24"/>
          <w:bdr w:val="none" w:sz="0" w:space="0" w:color="auto" w:frame="1"/>
          <w:lang w:val="it-IT"/>
        </w:rPr>
        <w:t>Consiglio di Presidenza della Giustizia Tributaria</w:t>
      </w:r>
      <w:r w:rsidRPr="00F0160E">
        <w:rPr>
          <w:noProof/>
          <w:szCs w:val="24"/>
          <w:bdr w:val="none" w:sz="0" w:space="0" w:color="auto" w:frame="1"/>
          <w:lang w:val="it-IT"/>
        </w:rPr>
        <w:t>)</w:t>
      </w:r>
    </w:p>
    <w:p w14:paraId="6F39730F"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02081B">
        <w:rPr>
          <w:noProof/>
          <w:szCs w:val="24"/>
          <w:bdr w:val="none" w:sz="0" w:space="0" w:color="auto" w:frame="1"/>
        </w:rPr>
        <w:t xml:space="preserve">Italian Coalition for Civil Liberties and Rights (CILD) </w:t>
      </w:r>
    </w:p>
    <w:p w14:paraId="09FFF8CB" w14:textId="77777777" w:rsidR="00490F94" w:rsidRPr="00F0160E" w:rsidRDefault="00490F94" w:rsidP="00490F94">
      <w:pPr>
        <w:numPr>
          <w:ilvl w:val="0"/>
          <w:numId w:val="21"/>
        </w:numPr>
        <w:spacing w:line="256" w:lineRule="auto"/>
        <w:contextualSpacing/>
        <w:rPr>
          <w:noProof/>
          <w:szCs w:val="24"/>
          <w:bdr w:val="none" w:sz="0" w:space="0" w:color="auto" w:frame="1"/>
          <w:lang w:val="it-IT"/>
        </w:rPr>
      </w:pPr>
      <w:r w:rsidRPr="00F0160E">
        <w:rPr>
          <w:noProof/>
          <w:szCs w:val="24"/>
          <w:bdr w:val="none" w:sz="0" w:space="0" w:color="auto" w:frame="1"/>
          <w:lang w:val="it-IT"/>
        </w:rPr>
        <w:t>Communications Regulatory Authority (</w:t>
      </w:r>
      <w:r w:rsidRPr="00F0160E">
        <w:rPr>
          <w:i/>
          <w:iCs/>
          <w:noProof/>
          <w:szCs w:val="24"/>
          <w:bdr w:val="none" w:sz="0" w:space="0" w:color="auto" w:frame="1"/>
          <w:lang w:val="it-IT"/>
        </w:rPr>
        <w:t>Autorità per le Garanzie nelle Comunicazioni, AGCOM</w:t>
      </w:r>
      <w:r w:rsidRPr="00F0160E">
        <w:rPr>
          <w:noProof/>
          <w:szCs w:val="24"/>
          <w:bdr w:val="none" w:sz="0" w:space="0" w:color="auto" w:frame="1"/>
          <w:lang w:val="it-IT"/>
        </w:rPr>
        <w:t>)</w:t>
      </w:r>
    </w:p>
    <w:p w14:paraId="3BF83E6A"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7C4638">
        <w:rPr>
          <w:i/>
          <w:iCs/>
          <w:noProof/>
          <w:szCs w:val="24"/>
          <w:bdr w:val="none" w:sz="0" w:space="0" w:color="auto" w:frame="1"/>
        </w:rPr>
        <w:t>Confartigianato</w:t>
      </w:r>
    </w:p>
    <w:p w14:paraId="3D7F4AF7"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7C4638">
        <w:rPr>
          <w:i/>
          <w:iCs/>
          <w:noProof/>
          <w:szCs w:val="24"/>
          <w:bdr w:val="none" w:sz="0" w:space="0" w:color="auto" w:frame="1"/>
        </w:rPr>
        <w:t>Confindustria</w:t>
      </w:r>
    </w:p>
    <w:p w14:paraId="576BB321"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703B6E">
        <w:rPr>
          <w:noProof/>
          <w:szCs w:val="24"/>
          <w:bdr w:val="none" w:sz="0" w:space="0" w:color="auto" w:frame="1"/>
        </w:rPr>
        <w:t>Constitutional Court (</w:t>
      </w:r>
      <w:r w:rsidRPr="00703B6E">
        <w:rPr>
          <w:i/>
          <w:iCs/>
          <w:noProof/>
          <w:szCs w:val="24"/>
          <w:bdr w:val="none" w:sz="0" w:space="0" w:color="auto" w:frame="1"/>
        </w:rPr>
        <w:t>Corte Costituzionale</w:t>
      </w:r>
      <w:r w:rsidRPr="00703B6E">
        <w:rPr>
          <w:noProof/>
          <w:szCs w:val="24"/>
          <w:bdr w:val="none" w:sz="0" w:space="0" w:color="auto" w:frame="1"/>
        </w:rPr>
        <w:t>)</w:t>
      </w:r>
    </w:p>
    <w:p w14:paraId="59C3EB2E" w14:textId="77777777" w:rsidR="00490F94" w:rsidRPr="00F0160E" w:rsidRDefault="00490F94" w:rsidP="00490F94">
      <w:pPr>
        <w:numPr>
          <w:ilvl w:val="0"/>
          <w:numId w:val="21"/>
        </w:numPr>
        <w:spacing w:line="256" w:lineRule="auto"/>
        <w:contextualSpacing/>
        <w:rPr>
          <w:noProof/>
          <w:szCs w:val="24"/>
          <w:bdr w:val="none" w:sz="0" w:space="0" w:color="auto" w:frame="1"/>
          <w:lang w:val="it-IT"/>
        </w:rPr>
      </w:pPr>
      <w:r w:rsidRPr="00F0160E">
        <w:rPr>
          <w:i/>
          <w:iCs/>
          <w:noProof/>
          <w:szCs w:val="24"/>
          <w:bdr w:val="none" w:sz="0" w:space="0" w:color="auto" w:frame="1"/>
          <w:lang w:val="it-IT"/>
        </w:rPr>
        <w:t>Cooperazione per lo Sviluppo dei Paesi Emergenti</w:t>
      </w:r>
      <w:r w:rsidRPr="00F0160E">
        <w:rPr>
          <w:noProof/>
          <w:szCs w:val="24"/>
          <w:bdr w:val="none" w:sz="0" w:space="0" w:color="auto" w:frame="1"/>
          <w:lang w:val="it-IT"/>
        </w:rPr>
        <w:t xml:space="preserve"> (COSPE)</w:t>
      </w:r>
    </w:p>
    <w:p w14:paraId="4C2216A8" w14:textId="77777777" w:rsidR="00490F94" w:rsidRPr="00F0160E" w:rsidRDefault="00490F94" w:rsidP="00490F94">
      <w:pPr>
        <w:numPr>
          <w:ilvl w:val="0"/>
          <w:numId w:val="21"/>
        </w:numPr>
        <w:spacing w:line="256" w:lineRule="auto"/>
        <w:contextualSpacing/>
        <w:rPr>
          <w:noProof/>
          <w:szCs w:val="24"/>
          <w:bdr w:val="none" w:sz="0" w:space="0" w:color="auto" w:frame="1"/>
          <w:lang w:val="it-IT"/>
        </w:rPr>
      </w:pPr>
      <w:r w:rsidRPr="00F0160E">
        <w:rPr>
          <w:noProof/>
          <w:szCs w:val="24"/>
          <w:bdr w:val="none" w:sz="0" w:space="0" w:color="auto" w:frame="1"/>
          <w:lang w:val="it-IT"/>
        </w:rPr>
        <w:t>Council of State (</w:t>
      </w:r>
      <w:r w:rsidRPr="00F0160E">
        <w:rPr>
          <w:i/>
          <w:iCs/>
          <w:noProof/>
          <w:szCs w:val="24"/>
          <w:bdr w:val="none" w:sz="0" w:space="0" w:color="auto" w:frame="1"/>
          <w:lang w:val="it-IT"/>
        </w:rPr>
        <w:t>Consiglio di Stato</w:t>
      </w:r>
      <w:r w:rsidRPr="00F0160E">
        <w:rPr>
          <w:noProof/>
          <w:szCs w:val="24"/>
          <w:bdr w:val="none" w:sz="0" w:space="0" w:color="auto" w:frame="1"/>
          <w:lang w:val="it-IT"/>
        </w:rPr>
        <w:t>) and Board of the Administrative Courts (</w:t>
      </w:r>
      <w:r w:rsidRPr="00F0160E">
        <w:rPr>
          <w:i/>
          <w:iCs/>
          <w:noProof/>
          <w:szCs w:val="24"/>
          <w:bdr w:val="none" w:sz="0" w:space="0" w:color="auto" w:frame="1"/>
          <w:lang w:val="it-IT"/>
        </w:rPr>
        <w:t>Consiglio di Presidenza della Giustizia Amministrativa</w:t>
      </w:r>
      <w:r w:rsidRPr="00F0160E">
        <w:rPr>
          <w:noProof/>
          <w:szCs w:val="24"/>
          <w:bdr w:val="none" w:sz="0" w:space="0" w:color="auto" w:frame="1"/>
          <w:lang w:val="it-IT"/>
        </w:rPr>
        <w:t>)</w:t>
      </w:r>
    </w:p>
    <w:p w14:paraId="52CC07CB" w14:textId="77777777" w:rsidR="00490F94" w:rsidRPr="00F0160E" w:rsidRDefault="00490F94" w:rsidP="00490F94">
      <w:pPr>
        <w:numPr>
          <w:ilvl w:val="0"/>
          <w:numId w:val="21"/>
        </w:numPr>
        <w:spacing w:line="256" w:lineRule="auto"/>
        <w:contextualSpacing/>
        <w:rPr>
          <w:noProof/>
          <w:szCs w:val="24"/>
          <w:bdr w:val="none" w:sz="0" w:space="0" w:color="auto" w:frame="1"/>
          <w:lang w:val="it-IT"/>
        </w:rPr>
      </w:pPr>
      <w:r w:rsidRPr="00F0160E">
        <w:rPr>
          <w:noProof/>
          <w:szCs w:val="24"/>
          <w:bdr w:val="none" w:sz="0" w:space="0" w:color="auto" w:frame="1"/>
          <w:lang w:val="it-IT"/>
        </w:rPr>
        <w:t>Court of Auditors (</w:t>
      </w:r>
      <w:r w:rsidRPr="00F0160E">
        <w:rPr>
          <w:i/>
          <w:iCs/>
          <w:noProof/>
          <w:szCs w:val="24"/>
          <w:bdr w:val="none" w:sz="0" w:space="0" w:color="auto" w:frame="1"/>
          <w:lang w:val="it-IT"/>
        </w:rPr>
        <w:t>Corte dei Conti</w:t>
      </w:r>
      <w:r w:rsidRPr="00F0160E">
        <w:rPr>
          <w:noProof/>
          <w:szCs w:val="24"/>
          <w:bdr w:val="none" w:sz="0" w:space="0" w:color="auto" w:frame="1"/>
          <w:lang w:val="it-IT"/>
        </w:rPr>
        <w:t>) and its prosecution service (</w:t>
      </w:r>
      <w:r w:rsidRPr="00F0160E">
        <w:rPr>
          <w:i/>
          <w:iCs/>
          <w:noProof/>
          <w:szCs w:val="24"/>
          <w:bdr w:val="none" w:sz="0" w:space="0" w:color="auto" w:frame="1"/>
          <w:lang w:val="it-IT"/>
        </w:rPr>
        <w:t>Ufficio del Procuratore Generale presso la Corte dei Conti</w:t>
      </w:r>
      <w:r w:rsidRPr="00F0160E">
        <w:rPr>
          <w:noProof/>
          <w:szCs w:val="24"/>
          <w:bdr w:val="none" w:sz="0" w:space="0" w:color="auto" w:frame="1"/>
          <w:lang w:val="it-IT"/>
        </w:rPr>
        <w:t>)</w:t>
      </w:r>
    </w:p>
    <w:p w14:paraId="7853CBA3" w14:textId="77777777" w:rsidR="00490F94" w:rsidRPr="00F0160E" w:rsidRDefault="00490F94" w:rsidP="00490F94">
      <w:pPr>
        <w:numPr>
          <w:ilvl w:val="0"/>
          <w:numId w:val="21"/>
        </w:numPr>
        <w:spacing w:line="256" w:lineRule="auto"/>
        <w:contextualSpacing/>
        <w:rPr>
          <w:noProof/>
          <w:szCs w:val="24"/>
          <w:bdr w:val="none" w:sz="0" w:space="0" w:color="auto" w:frame="1"/>
          <w:lang w:val="it-IT"/>
        </w:rPr>
      </w:pPr>
      <w:r w:rsidRPr="00F0160E">
        <w:rPr>
          <w:i/>
          <w:iCs/>
          <w:noProof/>
          <w:szCs w:val="24"/>
          <w:bdr w:val="none" w:sz="0" w:space="0" w:color="auto" w:frame="1"/>
          <w:lang w:val="it-IT"/>
        </w:rPr>
        <w:t>Democrazia, etica pubblica, trasparenza</w:t>
      </w:r>
      <w:r w:rsidRPr="00F0160E">
        <w:rPr>
          <w:noProof/>
          <w:szCs w:val="24"/>
          <w:bdr w:val="none" w:sz="0" w:space="0" w:color="auto" w:frame="1"/>
          <w:lang w:val="it-IT"/>
        </w:rPr>
        <w:t xml:space="preserve"> (Dem.e.tra)</w:t>
      </w:r>
    </w:p>
    <w:p w14:paraId="41B824B3"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703B6E">
        <w:rPr>
          <w:noProof/>
          <w:szCs w:val="24"/>
          <w:bdr w:val="none" w:sz="0" w:space="0" w:color="auto" w:frame="1"/>
        </w:rPr>
        <w:t>Emergency</w:t>
      </w:r>
    </w:p>
    <w:p w14:paraId="5064C3DD" w14:textId="77777777" w:rsidR="00490F94" w:rsidRPr="00F0160E" w:rsidRDefault="00490F94" w:rsidP="00490F94">
      <w:pPr>
        <w:numPr>
          <w:ilvl w:val="0"/>
          <w:numId w:val="21"/>
        </w:numPr>
        <w:spacing w:line="256" w:lineRule="auto"/>
        <w:contextualSpacing/>
        <w:rPr>
          <w:noProof/>
          <w:szCs w:val="24"/>
          <w:bdr w:val="none" w:sz="0" w:space="0" w:color="auto" w:frame="1"/>
          <w:lang w:val="it-IT"/>
        </w:rPr>
      </w:pPr>
      <w:r w:rsidRPr="00F0160E">
        <w:rPr>
          <w:noProof/>
          <w:szCs w:val="24"/>
          <w:bdr w:val="none" w:sz="0" w:space="0" w:color="auto" w:frame="1"/>
          <w:lang w:val="it-IT"/>
        </w:rPr>
        <w:t>Italian National Press Federation (</w:t>
      </w:r>
      <w:r w:rsidRPr="00F0160E">
        <w:rPr>
          <w:i/>
          <w:iCs/>
          <w:noProof/>
          <w:szCs w:val="24"/>
          <w:bdr w:val="none" w:sz="0" w:space="0" w:color="auto" w:frame="1"/>
          <w:lang w:val="it-IT"/>
        </w:rPr>
        <w:t xml:space="preserve">Federazione Nazionale Stampa Italiana, </w:t>
      </w:r>
      <w:r w:rsidRPr="00F0160E">
        <w:rPr>
          <w:noProof/>
          <w:szCs w:val="24"/>
          <w:bdr w:val="none" w:sz="0" w:space="0" w:color="auto" w:frame="1"/>
          <w:lang w:val="it-IT"/>
        </w:rPr>
        <w:t>FNSI)</w:t>
      </w:r>
    </w:p>
    <w:p w14:paraId="44BAD126" w14:textId="77777777" w:rsidR="00490F94" w:rsidRPr="00F0160E" w:rsidRDefault="00490F94" w:rsidP="00490F94">
      <w:pPr>
        <w:numPr>
          <w:ilvl w:val="0"/>
          <w:numId w:val="21"/>
        </w:numPr>
        <w:spacing w:line="256" w:lineRule="auto"/>
        <w:contextualSpacing/>
        <w:rPr>
          <w:noProof/>
          <w:szCs w:val="24"/>
          <w:bdr w:val="none" w:sz="0" w:space="0" w:color="auto" w:frame="1"/>
          <w:lang w:val="it-IT"/>
        </w:rPr>
      </w:pPr>
      <w:r w:rsidRPr="00F0160E">
        <w:rPr>
          <w:noProof/>
          <w:szCs w:val="24"/>
          <w:bdr w:val="none" w:sz="0" w:space="0" w:color="auto" w:frame="1"/>
          <w:lang w:val="it-IT"/>
        </w:rPr>
        <w:t>Court of Cassation (</w:t>
      </w:r>
      <w:r w:rsidRPr="00F0160E">
        <w:rPr>
          <w:i/>
          <w:iCs/>
          <w:noProof/>
          <w:szCs w:val="24"/>
          <w:bdr w:val="none" w:sz="0" w:space="0" w:color="auto" w:frame="1"/>
          <w:lang w:val="it-IT"/>
        </w:rPr>
        <w:t>Corte Suprema di Cassazione</w:t>
      </w:r>
      <w:r w:rsidRPr="00F0160E">
        <w:rPr>
          <w:noProof/>
          <w:szCs w:val="24"/>
          <w:bdr w:val="none" w:sz="0" w:space="0" w:color="auto" w:frame="1"/>
          <w:lang w:val="it-IT"/>
        </w:rPr>
        <w:t>) and its prosecution service (</w:t>
      </w:r>
      <w:r w:rsidRPr="00F0160E">
        <w:rPr>
          <w:i/>
          <w:iCs/>
          <w:noProof/>
          <w:szCs w:val="24"/>
          <w:bdr w:val="none" w:sz="0" w:space="0" w:color="auto" w:frame="1"/>
          <w:lang w:val="it-IT"/>
        </w:rPr>
        <w:t>Procura Generale presso la Corte Suprema di Cassazione</w:t>
      </w:r>
      <w:r w:rsidRPr="00F0160E">
        <w:rPr>
          <w:noProof/>
          <w:szCs w:val="24"/>
          <w:bdr w:val="none" w:sz="0" w:space="0" w:color="auto" w:frame="1"/>
          <w:lang w:val="it-IT"/>
        </w:rPr>
        <w:t>)</w:t>
      </w:r>
    </w:p>
    <w:p w14:paraId="4DF66CCE"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703B6E">
        <w:rPr>
          <w:noProof/>
          <w:szCs w:val="24"/>
          <w:bdr w:val="none" w:sz="0" w:space="0" w:color="auto" w:frame="1"/>
        </w:rPr>
        <w:t>High Council of the Judiciary (</w:t>
      </w:r>
      <w:r w:rsidRPr="00703B6E">
        <w:rPr>
          <w:i/>
          <w:iCs/>
          <w:noProof/>
          <w:szCs w:val="24"/>
          <w:bdr w:val="none" w:sz="0" w:space="0" w:color="auto" w:frame="1"/>
        </w:rPr>
        <w:t>Consiglio Superiore della Magistratura</w:t>
      </w:r>
      <w:r w:rsidRPr="00703B6E">
        <w:rPr>
          <w:noProof/>
          <w:szCs w:val="24"/>
          <w:bdr w:val="none" w:sz="0" w:space="0" w:color="auto" w:frame="1"/>
        </w:rPr>
        <w:t>)</w:t>
      </w:r>
    </w:p>
    <w:p w14:paraId="01B8F80D"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703B6E">
        <w:rPr>
          <w:noProof/>
          <w:szCs w:val="24"/>
          <w:bdr w:val="none" w:sz="0" w:space="0" w:color="auto" w:frame="1"/>
        </w:rPr>
        <w:t>Independent Judiciary (</w:t>
      </w:r>
      <w:r w:rsidRPr="00703B6E">
        <w:rPr>
          <w:i/>
          <w:iCs/>
          <w:noProof/>
          <w:szCs w:val="24"/>
          <w:bdr w:val="none" w:sz="0" w:space="0" w:color="auto" w:frame="1"/>
        </w:rPr>
        <w:t>Magistratura Indipendente</w:t>
      </w:r>
      <w:r w:rsidRPr="00703B6E">
        <w:rPr>
          <w:noProof/>
          <w:szCs w:val="24"/>
          <w:bdr w:val="none" w:sz="0" w:space="0" w:color="auto" w:frame="1"/>
        </w:rPr>
        <w:t>)</w:t>
      </w:r>
    </w:p>
    <w:p w14:paraId="3010BCB3"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7C4638">
        <w:rPr>
          <w:i/>
          <w:iCs/>
          <w:noProof/>
          <w:szCs w:val="24"/>
          <w:bdr w:val="none" w:sz="0" w:space="0" w:color="auto" w:frame="1"/>
        </w:rPr>
        <w:t>Libera</w:t>
      </w:r>
    </w:p>
    <w:p w14:paraId="0D23FECB"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703B6E">
        <w:rPr>
          <w:noProof/>
          <w:szCs w:val="24"/>
          <w:bdr w:val="none" w:sz="0" w:space="0" w:color="auto" w:frame="1"/>
        </w:rPr>
        <w:t>Ministry of Interior</w:t>
      </w:r>
    </w:p>
    <w:p w14:paraId="38F25B1B"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703B6E">
        <w:rPr>
          <w:noProof/>
          <w:szCs w:val="24"/>
          <w:bdr w:val="none" w:sz="0" w:space="0" w:color="auto" w:frame="1"/>
        </w:rPr>
        <w:t>Ministry of Justice</w:t>
      </w:r>
    </w:p>
    <w:p w14:paraId="449DFED7" w14:textId="77777777" w:rsidR="00490F94" w:rsidRPr="00F0160E" w:rsidRDefault="00490F94" w:rsidP="00490F94">
      <w:pPr>
        <w:numPr>
          <w:ilvl w:val="0"/>
          <w:numId w:val="21"/>
        </w:numPr>
        <w:spacing w:line="256" w:lineRule="auto"/>
        <w:contextualSpacing/>
        <w:rPr>
          <w:noProof/>
          <w:szCs w:val="24"/>
          <w:bdr w:val="none" w:sz="0" w:space="0" w:color="auto" w:frame="1"/>
          <w:lang w:val="it-IT"/>
        </w:rPr>
      </w:pPr>
      <w:r w:rsidRPr="00F0160E">
        <w:rPr>
          <w:noProof/>
          <w:szCs w:val="24"/>
          <w:bdr w:val="none" w:sz="0" w:space="0" w:color="auto" w:frame="1"/>
          <w:lang w:val="it-IT"/>
        </w:rPr>
        <w:t>National Anti-Corruption Authority (</w:t>
      </w:r>
      <w:r w:rsidRPr="00F0160E">
        <w:rPr>
          <w:i/>
          <w:iCs/>
          <w:noProof/>
          <w:szCs w:val="24"/>
          <w:bdr w:val="none" w:sz="0" w:space="0" w:color="auto" w:frame="1"/>
          <w:lang w:val="it-IT"/>
        </w:rPr>
        <w:t xml:space="preserve">Autorità Nazionale Anticorruzione, </w:t>
      </w:r>
      <w:r w:rsidRPr="00F0160E">
        <w:rPr>
          <w:noProof/>
          <w:szCs w:val="24"/>
          <w:bdr w:val="none" w:sz="0" w:space="0" w:color="auto" w:frame="1"/>
          <w:lang w:val="it-IT"/>
        </w:rPr>
        <w:t>ANAC)</w:t>
      </w:r>
    </w:p>
    <w:p w14:paraId="7C464463" w14:textId="77777777" w:rsidR="00490F94" w:rsidRPr="00F0160E" w:rsidRDefault="00490F94" w:rsidP="00490F94">
      <w:pPr>
        <w:numPr>
          <w:ilvl w:val="0"/>
          <w:numId w:val="21"/>
        </w:numPr>
        <w:spacing w:line="256" w:lineRule="auto"/>
        <w:contextualSpacing/>
        <w:rPr>
          <w:noProof/>
          <w:szCs w:val="24"/>
          <w:bdr w:val="none" w:sz="0" w:space="0" w:color="auto" w:frame="1"/>
          <w:lang w:val="it-IT"/>
        </w:rPr>
      </w:pPr>
      <w:r w:rsidRPr="00F0160E">
        <w:rPr>
          <w:noProof/>
          <w:szCs w:val="24"/>
          <w:bdr w:val="none" w:sz="0" w:space="0" w:color="auto" w:frame="1"/>
          <w:lang w:val="it-IT"/>
        </w:rPr>
        <w:t>National Association of Magistrates (</w:t>
      </w:r>
      <w:r w:rsidRPr="00F0160E">
        <w:rPr>
          <w:i/>
          <w:iCs/>
          <w:noProof/>
          <w:szCs w:val="24"/>
          <w:bdr w:val="none" w:sz="0" w:space="0" w:color="auto" w:frame="1"/>
          <w:lang w:val="it-IT"/>
        </w:rPr>
        <w:t>Associazione Nazionale Magistrati</w:t>
      </w:r>
      <w:r w:rsidRPr="00F0160E">
        <w:rPr>
          <w:noProof/>
          <w:szCs w:val="24"/>
          <w:bdr w:val="none" w:sz="0" w:space="0" w:color="auto" w:frame="1"/>
          <w:lang w:val="it-IT"/>
        </w:rPr>
        <w:t>)</w:t>
      </w:r>
    </w:p>
    <w:p w14:paraId="2EBA7257" w14:textId="77777777" w:rsidR="00490F94" w:rsidRPr="00F0160E" w:rsidRDefault="00490F94" w:rsidP="00490F94">
      <w:pPr>
        <w:numPr>
          <w:ilvl w:val="0"/>
          <w:numId w:val="21"/>
        </w:numPr>
        <w:spacing w:line="256" w:lineRule="auto"/>
        <w:contextualSpacing/>
        <w:rPr>
          <w:noProof/>
          <w:szCs w:val="24"/>
          <w:bdr w:val="none" w:sz="0" w:space="0" w:color="auto" w:frame="1"/>
          <w:lang w:val="it-IT"/>
        </w:rPr>
      </w:pPr>
      <w:r w:rsidRPr="00F0160E">
        <w:rPr>
          <w:noProof/>
          <w:szCs w:val="24"/>
          <w:bdr w:val="none" w:sz="0" w:space="0" w:color="auto" w:frame="1"/>
          <w:lang w:val="it-IT"/>
        </w:rPr>
        <w:t>National Bar Association (</w:t>
      </w:r>
      <w:r w:rsidRPr="00F0160E">
        <w:rPr>
          <w:i/>
          <w:iCs/>
          <w:noProof/>
          <w:szCs w:val="24"/>
          <w:bdr w:val="none" w:sz="0" w:space="0" w:color="auto" w:frame="1"/>
          <w:lang w:val="it-IT"/>
        </w:rPr>
        <w:t>Consiglio Nazionale Forense</w:t>
      </w:r>
      <w:r w:rsidRPr="00F0160E">
        <w:rPr>
          <w:noProof/>
          <w:szCs w:val="24"/>
          <w:bdr w:val="none" w:sz="0" w:space="0" w:color="auto" w:frame="1"/>
          <w:lang w:val="it-IT"/>
        </w:rPr>
        <w:t>)</w:t>
      </w:r>
    </w:p>
    <w:p w14:paraId="41C14E7E"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703B6E">
        <w:rPr>
          <w:noProof/>
          <w:szCs w:val="24"/>
          <w:bdr w:val="none" w:sz="0" w:space="0" w:color="auto" w:frame="1"/>
        </w:rPr>
        <w:t>Open Polis</w:t>
      </w:r>
    </w:p>
    <w:p w14:paraId="2FED1E47" w14:textId="77777777" w:rsidR="00490F94" w:rsidRPr="00F0160E" w:rsidRDefault="00490F94" w:rsidP="00490F94">
      <w:pPr>
        <w:numPr>
          <w:ilvl w:val="0"/>
          <w:numId w:val="21"/>
        </w:numPr>
        <w:spacing w:line="256" w:lineRule="auto"/>
        <w:contextualSpacing/>
        <w:rPr>
          <w:noProof/>
          <w:szCs w:val="24"/>
          <w:bdr w:val="none" w:sz="0" w:space="0" w:color="auto" w:frame="1"/>
          <w:lang w:val="it-IT"/>
        </w:rPr>
      </w:pPr>
      <w:r w:rsidRPr="00F0160E">
        <w:rPr>
          <w:i/>
          <w:iCs/>
          <w:noProof/>
          <w:szCs w:val="24"/>
          <w:bdr w:val="none" w:sz="0" w:space="0" w:color="auto" w:frame="1"/>
          <w:lang w:val="it-IT"/>
        </w:rPr>
        <w:t>Osservatorio Balcani Caucaso Transeuropa</w:t>
      </w:r>
      <w:r w:rsidRPr="00F0160E">
        <w:rPr>
          <w:noProof/>
          <w:szCs w:val="24"/>
          <w:bdr w:val="none" w:sz="0" w:space="0" w:color="auto" w:frame="1"/>
          <w:lang w:val="it-IT"/>
        </w:rPr>
        <w:t xml:space="preserve"> (OBCT)</w:t>
      </w:r>
    </w:p>
    <w:p w14:paraId="36AF4FDA" w14:textId="77777777" w:rsidR="00490F94" w:rsidRPr="00703B6E" w:rsidRDefault="00490F94" w:rsidP="00490F94">
      <w:pPr>
        <w:numPr>
          <w:ilvl w:val="0"/>
          <w:numId w:val="21"/>
        </w:numPr>
        <w:spacing w:line="256" w:lineRule="auto"/>
        <w:contextualSpacing/>
        <w:rPr>
          <w:i/>
          <w:iCs/>
          <w:noProof/>
          <w:szCs w:val="24"/>
          <w:bdr w:val="none" w:sz="0" w:space="0" w:color="auto" w:frame="1"/>
        </w:rPr>
      </w:pPr>
      <w:r w:rsidRPr="00703B6E">
        <w:rPr>
          <w:i/>
          <w:iCs/>
          <w:noProof/>
          <w:szCs w:val="24"/>
          <w:bdr w:val="none" w:sz="0" w:space="0" w:color="auto" w:frame="1"/>
        </w:rPr>
        <w:t>Ossigeno per l’Informazione</w:t>
      </w:r>
    </w:p>
    <w:p w14:paraId="7E9731A9" w14:textId="77777777" w:rsidR="00490F94" w:rsidRPr="00F0160E" w:rsidRDefault="00490F94" w:rsidP="00490F94">
      <w:pPr>
        <w:numPr>
          <w:ilvl w:val="0"/>
          <w:numId w:val="21"/>
        </w:numPr>
        <w:spacing w:line="256" w:lineRule="auto"/>
        <w:contextualSpacing/>
        <w:rPr>
          <w:noProof/>
          <w:szCs w:val="24"/>
          <w:bdr w:val="none" w:sz="0" w:space="0" w:color="auto" w:frame="1"/>
          <w:lang w:val="it-IT"/>
        </w:rPr>
      </w:pPr>
      <w:r w:rsidRPr="00F0160E">
        <w:rPr>
          <w:noProof/>
          <w:szCs w:val="24"/>
          <w:bdr w:val="none" w:sz="0" w:space="0" w:color="auto" w:frame="1"/>
          <w:lang w:val="it-IT"/>
        </w:rPr>
        <w:t>Office of the Prime Minister (</w:t>
      </w:r>
      <w:r w:rsidRPr="00F0160E">
        <w:rPr>
          <w:i/>
          <w:iCs/>
          <w:noProof/>
          <w:szCs w:val="24"/>
          <w:bdr w:val="none" w:sz="0" w:space="0" w:color="auto" w:frame="1"/>
          <w:lang w:val="it-IT"/>
        </w:rPr>
        <w:t>Presidenza del Consiglio dei Ministri</w:t>
      </w:r>
      <w:r w:rsidRPr="00F0160E">
        <w:rPr>
          <w:noProof/>
          <w:szCs w:val="24"/>
          <w:bdr w:val="none" w:sz="0" w:space="0" w:color="auto" w:frame="1"/>
          <w:lang w:val="it-IT"/>
        </w:rPr>
        <w:t>)</w:t>
      </w:r>
    </w:p>
    <w:p w14:paraId="09592DF0" w14:textId="77777777" w:rsidR="00490F94" w:rsidRPr="007C4638" w:rsidRDefault="00490F94" w:rsidP="00490F94">
      <w:pPr>
        <w:numPr>
          <w:ilvl w:val="0"/>
          <w:numId w:val="21"/>
        </w:numPr>
        <w:spacing w:line="256" w:lineRule="auto"/>
        <w:contextualSpacing/>
        <w:rPr>
          <w:i/>
          <w:iCs/>
          <w:noProof/>
          <w:szCs w:val="24"/>
          <w:bdr w:val="none" w:sz="0" w:space="0" w:color="auto" w:frame="1"/>
          <w:lang w:val="it-IT"/>
        </w:rPr>
      </w:pPr>
      <w:r w:rsidRPr="007C4638">
        <w:rPr>
          <w:i/>
          <w:iCs/>
          <w:noProof/>
          <w:szCs w:val="24"/>
          <w:bdr w:val="none" w:sz="0" w:space="0" w:color="auto" w:frame="1"/>
          <w:lang w:val="it-IT"/>
        </w:rPr>
        <w:t>RAI – Radiotelevisione italiana S.p.A.</w:t>
      </w:r>
    </w:p>
    <w:p w14:paraId="3D44084F"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703B6E">
        <w:rPr>
          <w:noProof/>
          <w:szCs w:val="24"/>
          <w:bdr w:val="none" w:sz="0" w:space="0" w:color="auto" w:frame="1"/>
        </w:rPr>
        <w:t>The Good Lobby</w:t>
      </w:r>
    </w:p>
    <w:p w14:paraId="75FF9A69"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703B6E">
        <w:rPr>
          <w:noProof/>
          <w:szCs w:val="24"/>
          <w:bdr w:val="none" w:sz="0" w:space="0" w:color="auto" w:frame="1"/>
        </w:rPr>
        <w:t>Transparency International – Italy</w:t>
      </w:r>
    </w:p>
    <w:p w14:paraId="69D39492" w14:textId="77777777" w:rsidR="00490F94" w:rsidRPr="00703B6E" w:rsidRDefault="00490F94" w:rsidP="00490F94">
      <w:pPr>
        <w:numPr>
          <w:ilvl w:val="0"/>
          <w:numId w:val="21"/>
        </w:numPr>
        <w:spacing w:line="256" w:lineRule="auto"/>
        <w:contextualSpacing/>
        <w:rPr>
          <w:noProof/>
          <w:bdr w:val="none" w:sz="0" w:space="0" w:color="auto" w:frame="1"/>
          <w:lang w:val="it-IT"/>
        </w:rPr>
      </w:pPr>
      <w:r w:rsidRPr="0FF586BA">
        <w:rPr>
          <w:noProof/>
          <w:bdr w:val="none" w:sz="0" w:space="0" w:color="auto" w:frame="1"/>
          <w:lang w:val="it-IT"/>
        </w:rPr>
        <w:t xml:space="preserve">Union of Italian Criminal </w:t>
      </w:r>
      <w:r>
        <w:rPr>
          <w:noProof/>
          <w:bdr w:val="none" w:sz="0" w:space="0" w:color="auto" w:frame="1"/>
          <w:lang w:val="it-IT"/>
        </w:rPr>
        <w:t>Chambers</w:t>
      </w:r>
      <w:r w:rsidRPr="0FF586BA">
        <w:rPr>
          <w:noProof/>
          <w:bdr w:val="none" w:sz="0" w:space="0" w:color="auto" w:frame="1"/>
          <w:lang w:val="it-IT"/>
        </w:rPr>
        <w:t xml:space="preserve"> (</w:t>
      </w:r>
      <w:r w:rsidRPr="0FF586BA">
        <w:rPr>
          <w:i/>
          <w:noProof/>
          <w:bdr w:val="none" w:sz="0" w:space="0" w:color="auto" w:frame="1"/>
          <w:lang w:val="it-IT"/>
        </w:rPr>
        <w:t xml:space="preserve">Unione delle Camere Penali Italiane, </w:t>
      </w:r>
      <w:r w:rsidRPr="0FF586BA">
        <w:rPr>
          <w:noProof/>
          <w:bdr w:val="none" w:sz="0" w:space="0" w:color="auto" w:frame="1"/>
          <w:lang w:val="it-IT"/>
        </w:rPr>
        <w:t>UCPI)</w:t>
      </w:r>
    </w:p>
    <w:p w14:paraId="74F78A90" w14:textId="77777777" w:rsidR="00490F94" w:rsidRPr="00703B6E" w:rsidRDefault="00490F94" w:rsidP="00490F94">
      <w:pPr>
        <w:numPr>
          <w:ilvl w:val="0"/>
          <w:numId w:val="21"/>
        </w:numPr>
        <w:spacing w:line="256" w:lineRule="auto"/>
        <w:contextualSpacing/>
        <w:rPr>
          <w:noProof/>
          <w:szCs w:val="24"/>
          <w:bdr w:val="none" w:sz="0" w:space="0" w:color="auto" w:frame="1"/>
        </w:rPr>
      </w:pPr>
      <w:r w:rsidRPr="00703B6E">
        <w:rPr>
          <w:noProof/>
          <w:szCs w:val="24"/>
          <w:bdr w:val="none" w:sz="0" w:space="0" w:color="auto" w:frame="1"/>
        </w:rPr>
        <w:t>Lawyers’ Union for the Protection of Human Rights (</w:t>
      </w:r>
      <w:r w:rsidRPr="00703B6E">
        <w:rPr>
          <w:i/>
          <w:iCs/>
          <w:noProof/>
          <w:szCs w:val="24"/>
          <w:bdr w:val="none" w:sz="0" w:space="0" w:color="auto" w:frame="1"/>
        </w:rPr>
        <w:t>Unione Forense per la Tutela dei Diritti Umani</w:t>
      </w:r>
      <w:r>
        <w:rPr>
          <w:i/>
          <w:iCs/>
          <w:noProof/>
          <w:szCs w:val="24"/>
          <w:bdr w:val="none" w:sz="0" w:space="0" w:color="auto" w:frame="1"/>
        </w:rPr>
        <w:t>, UFTDU</w:t>
      </w:r>
      <w:r w:rsidRPr="00703B6E">
        <w:rPr>
          <w:noProof/>
          <w:szCs w:val="24"/>
          <w:bdr w:val="none" w:sz="0" w:space="0" w:color="auto" w:frame="1"/>
        </w:rPr>
        <w:t>)</w:t>
      </w:r>
    </w:p>
    <w:p w14:paraId="578BBB3C" w14:textId="77777777" w:rsidR="00490F94" w:rsidRPr="0002081B" w:rsidRDefault="00490F94" w:rsidP="00490F94">
      <w:pPr>
        <w:spacing w:after="120" w:line="264" w:lineRule="auto"/>
        <w:rPr>
          <w:noProof/>
          <w:shd w:val="clear" w:color="auto" w:fill="FFFFFF"/>
          <w:lang w:eastAsia="en-GB"/>
        </w:rPr>
      </w:pPr>
    </w:p>
    <w:p w14:paraId="269ACFA1" w14:textId="77777777" w:rsidR="00490F94" w:rsidRPr="00703B6E" w:rsidRDefault="00490F94" w:rsidP="00490F94">
      <w:pPr>
        <w:spacing w:after="120" w:line="264" w:lineRule="auto"/>
        <w:rPr>
          <w:noProof/>
          <w:lang w:eastAsia="en-GB"/>
        </w:rPr>
      </w:pPr>
      <w:r w:rsidRPr="00703B6E">
        <w:rPr>
          <w:noProof/>
          <w:lang w:eastAsia="en-GB"/>
        </w:rPr>
        <w:t xml:space="preserve">* The Commission also met the following organisations in a number of horizontal meetings: </w:t>
      </w:r>
    </w:p>
    <w:p w14:paraId="1C1C1D5F" w14:textId="77777777" w:rsidR="00490F94" w:rsidRPr="000132EC" w:rsidRDefault="00490F94" w:rsidP="00490F94">
      <w:pPr>
        <w:numPr>
          <w:ilvl w:val="0"/>
          <w:numId w:val="22"/>
        </w:numPr>
        <w:spacing w:line="256" w:lineRule="auto"/>
        <w:contextualSpacing/>
        <w:rPr>
          <w:noProof/>
          <w:szCs w:val="24"/>
          <w:shd w:val="clear" w:color="auto" w:fill="FFFFFF"/>
        </w:rPr>
      </w:pPr>
      <w:r w:rsidRPr="000132EC">
        <w:rPr>
          <w:noProof/>
          <w:szCs w:val="24"/>
          <w:shd w:val="clear" w:color="auto" w:fill="FFFFFF"/>
        </w:rPr>
        <w:t>Civil Liberties Union for Europe</w:t>
      </w:r>
    </w:p>
    <w:p w14:paraId="7D9F7CBB" w14:textId="77777777" w:rsidR="00490F94" w:rsidRPr="000132EC" w:rsidRDefault="00490F94" w:rsidP="00490F94">
      <w:pPr>
        <w:numPr>
          <w:ilvl w:val="0"/>
          <w:numId w:val="22"/>
        </w:numPr>
        <w:spacing w:line="256" w:lineRule="auto"/>
        <w:contextualSpacing/>
        <w:rPr>
          <w:noProof/>
          <w:szCs w:val="24"/>
          <w:shd w:val="clear" w:color="auto" w:fill="FFFFFF"/>
        </w:rPr>
      </w:pPr>
      <w:r w:rsidRPr="000132EC">
        <w:rPr>
          <w:noProof/>
          <w:szCs w:val="24"/>
          <w:shd w:val="clear" w:color="auto" w:fill="FFFFFF"/>
        </w:rPr>
        <w:t>Civil Society Europe</w:t>
      </w:r>
    </w:p>
    <w:p w14:paraId="6A810D1D" w14:textId="77777777" w:rsidR="00490F94" w:rsidRPr="000132EC" w:rsidRDefault="00490F94" w:rsidP="00490F94">
      <w:pPr>
        <w:numPr>
          <w:ilvl w:val="0"/>
          <w:numId w:val="22"/>
        </w:numPr>
        <w:spacing w:line="256" w:lineRule="auto"/>
        <w:contextualSpacing/>
        <w:rPr>
          <w:noProof/>
          <w:szCs w:val="24"/>
          <w:shd w:val="clear" w:color="auto" w:fill="FFFFFF"/>
        </w:rPr>
      </w:pPr>
      <w:r w:rsidRPr="000132EC">
        <w:rPr>
          <w:noProof/>
          <w:szCs w:val="24"/>
          <w:shd w:val="clear" w:color="auto" w:fill="FFFFFF"/>
        </w:rPr>
        <w:t>End FGM EU</w:t>
      </w:r>
    </w:p>
    <w:p w14:paraId="73E1030C" w14:textId="77777777" w:rsidR="00490F94" w:rsidRPr="000132EC" w:rsidRDefault="00490F94" w:rsidP="00490F94">
      <w:pPr>
        <w:numPr>
          <w:ilvl w:val="0"/>
          <w:numId w:val="22"/>
        </w:numPr>
        <w:spacing w:line="256" w:lineRule="auto"/>
        <w:contextualSpacing/>
        <w:rPr>
          <w:noProof/>
          <w:szCs w:val="24"/>
          <w:shd w:val="clear" w:color="auto" w:fill="FFFFFF"/>
        </w:rPr>
      </w:pPr>
      <w:r w:rsidRPr="000132EC">
        <w:rPr>
          <w:noProof/>
          <w:szCs w:val="24"/>
          <w:shd w:val="clear" w:color="auto" w:fill="FFFFFF"/>
        </w:rPr>
        <w:t>European Civic Forum</w:t>
      </w:r>
    </w:p>
    <w:p w14:paraId="1A3EEAAF" w14:textId="77777777" w:rsidR="00490F94" w:rsidRPr="000132EC" w:rsidRDefault="00490F94" w:rsidP="00490F94">
      <w:pPr>
        <w:numPr>
          <w:ilvl w:val="0"/>
          <w:numId w:val="22"/>
        </w:numPr>
        <w:spacing w:line="256" w:lineRule="auto"/>
        <w:contextualSpacing/>
        <w:rPr>
          <w:noProof/>
          <w:szCs w:val="24"/>
          <w:shd w:val="clear" w:color="auto" w:fill="FFFFFF"/>
        </w:rPr>
      </w:pPr>
      <w:r w:rsidRPr="000132EC">
        <w:rPr>
          <w:noProof/>
          <w:szCs w:val="24"/>
          <w:shd w:val="clear" w:color="auto" w:fill="FFFFFF"/>
        </w:rPr>
        <w:t>European Partnership for Democracy</w:t>
      </w:r>
    </w:p>
    <w:p w14:paraId="7ABDF0D8" w14:textId="77777777" w:rsidR="00490F94" w:rsidRPr="000132EC" w:rsidRDefault="00490F94" w:rsidP="00490F94">
      <w:pPr>
        <w:numPr>
          <w:ilvl w:val="0"/>
          <w:numId w:val="22"/>
        </w:numPr>
        <w:spacing w:line="256" w:lineRule="auto"/>
        <w:contextualSpacing/>
        <w:rPr>
          <w:noProof/>
          <w:szCs w:val="24"/>
          <w:shd w:val="clear" w:color="auto" w:fill="FFFFFF"/>
        </w:rPr>
      </w:pPr>
      <w:r w:rsidRPr="000132EC">
        <w:rPr>
          <w:noProof/>
          <w:szCs w:val="24"/>
          <w:shd w:val="clear" w:color="auto" w:fill="FFFFFF"/>
        </w:rPr>
        <w:t>Human Rights Watch</w:t>
      </w:r>
    </w:p>
    <w:p w14:paraId="63CD944A" w14:textId="77777777" w:rsidR="00490F94" w:rsidRPr="000132EC" w:rsidRDefault="00490F94" w:rsidP="00490F94">
      <w:pPr>
        <w:numPr>
          <w:ilvl w:val="0"/>
          <w:numId w:val="22"/>
        </w:numPr>
        <w:spacing w:line="256" w:lineRule="auto"/>
        <w:contextualSpacing/>
        <w:rPr>
          <w:noProof/>
          <w:szCs w:val="24"/>
          <w:shd w:val="clear" w:color="auto" w:fill="FFFFFF"/>
        </w:rPr>
      </w:pPr>
      <w:r w:rsidRPr="000132EC">
        <w:rPr>
          <w:noProof/>
          <w:szCs w:val="24"/>
          <w:shd w:val="clear" w:color="auto" w:fill="FFFFFF"/>
        </w:rPr>
        <w:t>ILGA-Europe</w:t>
      </w:r>
    </w:p>
    <w:p w14:paraId="60BEC49B" w14:textId="77777777" w:rsidR="00490F94" w:rsidRPr="000132EC" w:rsidRDefault="00490F94" w:rsidP="00490F94">
      <w:pPr>
        <w:numPr>
          <w:ilvl w:val="0"/>
          <w:numId w:val="22"/>
        </w:numPr>
        <w:spacing w:line="256" w:lineRule="auto"/>
        <w:contextualSpacing/>
        <w:rPr>
          <w:noProof/>
          <w:szCs w:val="24"/>
          <w:shd w:val="clear" w:color="auto" w:fill="FFFFFF"/>
        </w:rPr>
      </w:pPr>
      <w:r w:rsidRPr="000132EC">
        <w:rPr>
          <w:noProof/>
          <w:szCs w:val="24"/>
          <w:shd w:val="clear" w:color="auto" w:fill="FFFFFF"/>
        </w:rPr>
        <w:t>International Federation for Human Rights</w:t>
      </w:r>
    </w:p>
    <w:p w14:paraId="11895377" w14:textId="77777777" w:rsidR="00490F94" w:rsidRPr="000132EC" w:rsidRDefault="00490F94" w:rsidP="00490F94">
      <w:pPr>
        <w:numPr>
          <w:ilvl w:val="0"/>
          <w:numId w:val="22"/>
        </w:numPr>
        <w:spacing w:line="256" w:lineRule="auto"/>
        <w:contextualSpacing/>
        <w:rPr>
          <w:noProof/>
          <w:szCs w:val="24"/>
          <w:shd w:val="clear" w:color="auto" w:fill="FFFFFF"/>
        </w:rPr>
      </w:pPr>
      <w:r w:rsidRPr="000132EC">
        <w:rPr>
          <w:noProof/>
          <w:szCs w:val="24"/>
          <w:shd w:val="clear" w:color="auto" w:fill="FFFFFF"/>
        </w:rPr>
        <w:t>Philea - Philanthropy Europe Association</w:t>
      </w:r>
    </w:p>
    <w:p w14:paraId="5C53B7F2" w14:textId="77777777" w:rsidR="00490F94" w:rsidRPr="00C621A6" w:rsidRDefault="00490F94" w:rsidP="00490F94">
      <w:pPr>
        <w:numPr>
          <w:ilvl w:val="0"/>
          <w:numId w:val="22"/>
        </w:numPr>
        <w:spacing w:after="120" w:line="264" w:lineRule="auto"/>
        <w:rPr>
          <w:noProof/>
        </w:rPr>
      </w:pPr>
      <w:r w:rsidRPr="00C621A6">
        <w:rPr>
          <w:noProof/>
          <w:lang w:val="en-IE" w:eastAsia="en-GB"/>
        </w:rPr>
        <w:t>Transparency International EU</w:t>
      </w:r>
    </w:p>
    <w:p w14:paraId="12C4B634" w14:textId="77777777" w:rsidR="00490F94" w:rsidRPr="00703B6E" w:rsidRDefault="00490F94" w:rsidP="00490F94">
      <w:pPr>
        <w:spacing w:after="0" w:line="264" w:lineRule="auto"/>
        <w:rPr>
          <w:noProof/>
          <w:lang w:eastAsia="en-GB"/>
        </w:rPr>
      </w:pPr>
    </w:p>
    <w:p w14:paraId="1F8EA2F6" w14:textId="77777777" w:rsidR="00490F94" w:rsidRPr="00703B6E" w:rsidRDefault="00490F94" w:rsidP="00490F94">
      <w:pPr>
        <w:spacing w:after="120"/>
        <w:ind w:left="284" w:hanging="284"/>
        <w:rPr>
          <w:noProof/>
          <w:lang w:eastAsia="en-GB"/>
        </w:rPr>
      </w:pPr>
    </w:p>
    <w:p w14:paraId="3E0E8871" w14:textId="77777777" w:rsidR="00490F94" w:rsidRPr="00703B6E" w:rsidRDefault="00490F94" w:rsidP="00490F94">
      <w:pPr>
        <w:spacing w:after="0"/>
        <w:rPr>
          <w:noProof/>
          <w:lang w:eastAsia="en-GB"/>
        </w:rPr>
      </w:pPr>
    </w:p>
    <w:p w14:paraId="4E951F0E" w14:textId="77777777" w:rsidR="00490F94" w:rsidRPr="00703B6E" w:rsidRDefault="00490F94" w:rsidP="00490F94">
      <w:pPr>
        <w:rPr>
          <w:noProof/>
        </w:rPr>
      </w:pPr>
    </w:p>
    <w:p w14:paraId="49D54B47" w14:textId="77777777" w:rsidR="00490F94" w:rsidRPr="00703B6E" w:rsidRDefault="00490F94" w:rsidP="00490F94">
      <w:pPr>
        <w:rPr>
          <w:noProof/>
        </w:rPr>
      </w:pPr>
    </w:p>
    <w:p w14:paraId="7C71BB12" w14:textId="77777777" w:rsidR="00CD604B" w:rsidRDefault="00CD604B" w:rsidP="00B51782">
      <w:pPr>
        <w:rPr>
          <w:noProof/>
        </w:rPr>
      </w:pPr>
    </w:p>
    <w:sectPr w:rsidR="00CD604B" w:rsidSect="00490F94">
      <w:headerReference w:type="even" r:id="rId68"/>
      <w:headerReference w:type="default" r:id="rId69"/>
      <w:footerReference w:type="even" r:id="rId70"/>
      <w:footerReference w:type="default" r:id="rId71"/>
      <w:headerReference w:type="first" r:id="rId72"/>
      <w:footerReference w:type="first" r:id="rId73"/>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963674" w14:textId="77777777" w:rsidR="000563C2" w:rsidRDefault="000563C2">
      <w:pPr>
        <w:spacing w:after="0"/>
      </w:pPr>
      <w:r>
        <w:separator/>
      </w:r>
    </w:p>
  </w:endnote>
  <w:endnote w:type="continuationSeparator" w:id="0">
    <w:p w14:paraId="6E657EE2" w14:textId="77777777" w:rsidR="000563C2" w:rsidRDefault="000563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3E7B1" w14:textId="56177DA0" w:rsidR="00BB66A5" w:rsidRPr="00BB66A5" w:rsidRDefault="00BB66A5" w:rsidP="00BB66A5">
    <w:pPr>
      <w:pStyle w:val="FooterCoverPage"/>
      <w:rPr>
        <w:rFonts w:ascii="Arial" w:hAnsi="Arial" w:cs="Arial"/>
        <w:b/>
        <w:sz w:val="48"/>
      </w:rPr>
    </w:pPr>
    <w:r w:rsidRPr="00BB66A5">
      <w:rPr>
        <w:rFonts w:ascii="Arial" w:hAnsi="Arial" w:cs="Arial"/>
        <w:b/>
        <w:sz w:val="48"/>
      </w:rPr>
      <w:t>EN</w:t>
    </w:r>
    <w:r w:rsidRPr="00BB66A5">
      <w:rPr>
        <w:rFonts w:ascii="Arial" w:hAnsi="Arial" w:cs="Arial"/>
        <w:b/>
        <w:sz w:val="48"/>
      </w:rPr>
      <w:tab/>
    </w:r>
    <w:r w:rsidRPr="00BB66A5">
      <w:rPr>
        <w:rFonts w:ascii="Arial" w:hAnsi="Arial" w:cs="Arial"/>
        <w:b/>
        <w:sz w:val="48"/>
      </w:rPr>
      <w:tab/>
    </w:r>
    <w:r w:rsidRPr="00BB66A5">
      <w:tab/>
    </w:r>
    <w:r w:rsidRPr="00BB66A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D98EE" w14:textId="6A2D4C8E" w:rsidR="00BB66A5" w:rsidRPr="00BB66A5" w:rsidRDefault="00BB66A5" w:rsidP="00BB66A5">
    <w:pPr>
      <w:pStyle w:val="FooterCoverPage"/>
      <w:rPr>
        <w:rFonts w:ascii="Arial" w:hAnsi="Arial" w:cs="Arial"/>
        <w:b/>
        <w:sz w:val="48"/>
      </w:rPr>
    </w:pPr>
    <w:r w:rsidRPr="00BB66A5">
      <w:rPr>
        <w:rFonts w:ascii="Arial" w:hAnsi="Arial" w:cs="Arial"/>
        <w:b/>
        <w:sz w:val="48"/>
      </w:rPr>
      <w:t>EN</w:t>
    </w:r>
    <w:r w:rsidRPr="00BB66A5">
      <w:rPr>
        <w:rFonts w:ascii="Arial" w:hAnsi="Arial" w:cs="Arial"/>
        <w:b/>
        <w:sz w:val="48"/>
      </w:rPr>
      <w:tab/>
    </w:r>
    <w:r w:rsidRPr="00BB66A5">
      <w:rPr>
        <w:rFonts w:ascii="Arial" w:hAnsi="Arial" w:cs="Arial"/>
        <w:b/>
        <w:sz w:val="48"/>
      </w:rPr>
      <w:tab/>
    </w:r>
    <w:r w:rsidRPr="00BB66A5">
      <w:tab/>
    </w:r>
    <w:r w:rsidRPr="00BB66A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CDEC9" w14:textId="77777777" w:rsidR="00BB66A5" w:rsidRPr="00BB66A5" w:rsidRDefault="00BB66A5" w:rsidP="00BB66A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B619F" w14:textId="77777777" w:rsidR="00490F94" w:rsidRDefault="00490F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sz w:val="24"/>
        <w:szCs w:val="24"/>
      </w:rPr>
    </w:sdtEndPr>
    <w:sdtContent>
      <w:p w14:paraId="5A0220B0" w14:textId="4C42847D" w:rsidR="00490F94" w:rsidRPr="00490F94" w:rsidRDefault="00490F94">
        <w:pPr>
          <w:pStyle w:val="Footer"/>
          <w:jc w:val="center"/>
          <w:rPr>
            <w:sz w:val="24"/>
            <w:szCs w:val="24"/>
          </w:rPr>
        </w:pPr>
        <w:r w:rsidRPr="00490F94">
          <w:rPr>
            <w:sz w:val="24"/>
            <w:szCs w:val="24"/>
          </w:rPr>
          <w:fldChar w:fldCharType="begin"/>
        </w:r>
        <w:r w:rsidRPr="00490F94">
          <w:rPr>
            <w:sz w:val="24"/>
            <w:szCs w:val="24"/>
          </w:rPr>
          <w:instrText xml:space="preserve"> PAGE   \* MERGEFORMAT </w:instrText>
        </w:r>
        <w:r w:rsidRPr="00490F94">
          <w:rPr>
            <w:sz w:val="24"/>
            <w:szCs w:val="24"/>
          </w:rPr>
          <w:fldChar w:fldCharType="separate"/>
        </w:r>
        <w:r w:rsidR="00BB66A5">
          <w:rPr>
            <w:noProof/>
            <w:sz w:val="24"/>
            <w:szCs w:val="24"/>
          </w:rPr>
          <w:t>1</w:t>
        </w:r>
        <w:r w:rsidRPr="00490F94">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7D6343E4" w14:textId="77777777" w:rsidR="00490F94" w:rsidRDefault="00490F94">
        <w:pPr>
          <w:pStyle w:val="Footer"/>
          <w:jc w:val="center"/>
        </w:pPr>
      </w:p>
      <w:p w14:paraId="6430706C" w14:textId="77777777" w:rsidR="00490F94" w:rsidRDefault="00490F94">
        <w:pPr>
          <w:pStyle w:val="Footer"/>
          <w:jc w:val="center"/>
        </w:pPr>
      </w:p>
      <w:p w14:paraId="3155BCF9" w14:textId="77777777" w:rsidR="00490F94" w:rsidRDefault="00490F94">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413F58D9" w14:textId="77777777" w:rsidR="00490F94" w:rsidRDefault="00490F94"/>
  <w:p w14:paraId="3640661B" w14:textId="77777777" w:rsidR="00490F94" w:rsidRDefault="00490F9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284522" w14:textId="77777777" w:rsidR="000563C2" w:rsidRDefault="000563C2">
      <w:pPr>
        <w:spacing w:after="0"/>
      </w:pPr>
      <w:r>
        <w:separator/>
      </w:r>
    </w:p>
  </w:footnote>
  <w:footnote w:type="continuationSeparator" w:id="0">
    <w:p w14:paraId="66E5C003" w14:textId="77777777" w:rsidR="000563C2" w:rsidRDefault="000563C2">
      <w:pPr>
        <w:spacing w:after="0"/>
      </w:pPr>
      <w:r>
        <w:continuationSeparator/>
      </w:r>
    </w:p>
  </w:footnote>
  <w:footnote w:id="1">
    <w:p w14:paraId="16B5D1EA" w14:textId="6AFE2256" w:rsidR="00490F94" w:rsidRPr="0002081B" w:rsidRDefault="00490F94" w:rsidP="006F4DD2">
      <w:pPr>
        <w:pStyle w:val="FootnoteText"/>
      </w:pPr>
      <w:r w:rsidRPr="0002081B">
        <w:rPr>
          <w:rStyle w:val="FootnoteReference"/>
        </w:rPr>
        <w:footnoteRef/>
      </w:r>
      <w:r w:rsidRPr="0002081B">
        <w:rPr>
          <w:rStyle w:val="FootnoteReference"/>
        </w:rPr>
        <w:tab/>
      </w:r>
      <w:r w:rsidRPr="0002081B">
        <w:t xml:space="preserve">An overview of the institutional framework for all four pillars can be found </w:t>
      </w:r>
      <w:hyperlink r:id="rId1" w:history="1">
        <w:r w:rsidR="00943FBD" w:rsidRPr="00943FBD">
          <w:rPr>
            <w:rStyle w:val="Hyperlink"/>
            <w:lang w:val="en-US"/>
          </w:rPr>
          <w:t>here</w:t>
        </w:r>
      </w:hyperlink>
      <w:r w:rsidR="00943FBD" w:rsidRPr="00943FBD">
        <w:rPr>
          <w:lang w:val="en-US"/>
        </w:rPr>
        <w:t>.</w:t>
      </w:r>
    </w:p>
  </w:footnote>
  <w:footnote w:id="2">
    <w:p w14:paraId="5842BFCB" w14:textId="77777777" w:rsidR="00490F94" w:rsidRPr="0002081B" w:rsidRDefault="00490F94" w:rsidP="006F4DD2">
      <w:pPr>
        <w:pStyle w:val="FootnoteText"/>
      </w:pPr>
      <w:r w:rsidRPr="0002081B">
        <w:rPr>
          <w:rStyle w:val="FootnoteReference"/>
        </w:rPr>
        <w:footnoteRef/>
      </w:r>
      <w:r w:rsidRPr="0002081B">
        <w:t xml:space="preserve"> </w:t>
      </w:r>
      <w:r w:rsidRPr="0002081B">
        <w:tab/>
      </w:r>
      <w:r w:rsidRPr="00D03E2F">
        <w:t xml:space="preserve">Figures </w:t>
      </w:r>
      <w:r>
        <w:t>48</w:t>
      </w:r>
      <w:r w:rsidRPr="00D03E2F">
        <w:t xml:space="preserve"> and </w:t>
      </w:r>
      <w:r>
        <w:t>50</w:t>
      </w:r>
      <w:r w:rsidRPr="00D03E2F">
        <w:t xml:space="preserve">, </w:t>
      </w:r>
      <w:r>
        <w:t>2026</w:t>
      </w:r>
      <w:r w:rsidRPr="00D03E2F">
        <w:t xml:space="preserve"> EU Justice Scoreboard</w:t>
      </w:r>
      <w:r>
        <w:t xml:space="preserve"> </w:t>
      </w:r>
      <w:r w:rsidRPr="00551154">
        <w:t xml:space="preserve">and Figures </w:t>
      </w:r>
      <w:r>
        <w:t>51</w:t>
      </w:r>
      <w:r w:rsidRPr="00551154">
        <w:t xml:space="preserve"> and </w:t>
      </w:r>
      <w:r>
        <w:t>53</w:t>
      </w:r>
      <w:r w:rsidRPr="00551154">
        <w:t xml:space="preserve">, </w:t>
      </w:r>
      <w:r>
        <w:t>2024</w:t>
      </w:r>
      <w:r w:rsidRPr="00551154">
        <w:t xml:space="preserve"> EU Justice Scoreboard</w:t>
      </w:r>
      <w:r>
        <w:t>.</w:t>
      </w:r>
      <w:r w:rsidRPr="0002081B">
        <w:t xml:space="preserve">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13C4BB05" w14:textId="77777777" w:rsidR="00490F94" w:rsidRPr="00D547AD" w:rsidRDefault="00490F94" w:rsidP="006F4DD2">
      <w:pPr>
        <w:pStyle w:val="FootnoteText"/>
      </w:pPr>
      <w:r w:rsidRPr="00D547AD">
        <w:rPr>
          <w:rStyle w:val="FootnoteReference"/>
        </w:rPr>
        <w:footnoteRef/>
      </w:r>
      <w:r w:rsidRPr="00D547AD">
        <w:t xml:space="preserve"> </w:t>
      </w:r>
      <w:r w:rsidRPr="00D547AD">
        <w:tab/>
        <w:t xml:space="preserve">Draft law A.S. 1353. See 2024 Rule of Law Report, Italy, pp. 5-7, for a description of the draft reform. </w:t>
      </w:r>
    </w:p>
  </w:footnote>
  <w:footnote w:id="4">
    <w:p w14:paraId="7D477459" w14:textId="77777777" w:rsidR="00490F94" w:rsidRPr="00D547AD" w:rsidRDefault="00490F94" w:rsidP="006F4DD2">
      <w:pPr>
        <w:pStyle w:val="FootnoteText"/>
        <w:rPr>
          <w:color w:val="000000" w:themeColor="text1"/>
          <w:lang w:val="en-IE"/>
        </w:rPr>
      </w:pPr>
      <w:r w:rsidRPr="00D547AD">
        <w:rPr>
          <w:rStyle w:val="FootnoteReference"/>
          <w:color w:val="000000" w:themeColor="text1"/>
        </w:rPr>
        <w:footnoteRef/>
      </w:r>
      <w:r w:rsidRPr="00D547AD">
        <w:rPr>
          <w:color w:val="000000" w:themeColor="text1"/>
          <w:lang w:val="en-IE"/>
        </w:rPr>
        <w:t xml:space="preserve"> </w:t>
      </w:r>
      <w:r w:rsidRPr="00D547AD">
        <w:rPr>
          <w:color w:val="000000" w:themeColor="text1"/>
          <w:lang w:val="en-IE"/>
        </w:rPr>
        <w:tab/>
      </w:r>
      <w:r w:rsidRPr="00D547AD">
        <w:rPr>
          <w:color w:val="000000" w:themeColor="text1"/>
        </w:rPr>
        <w:t>National Association of Magistrates</w:t>
      </w:r>
      <w:r w:rsidRPr="00D547AD">
        <w:t xml:space="preserve"> (2026)</w:t>
      </w:r>
      <w:r w:rsidRPr="00D547AD">
        <w:rPr>
          <w:color w:val="000000" w:themeColor="text1"/>
          <w:lang w:val="en-IE"/>
        </w:rPr>
        <w:t xml:space="preserve">.  </w:t>
      </w:r>
    </w:p>
  </w:footnote>
  <w:footnote w:id="5">
    <w:p w14:paraId="394769C0" w14:textId="560D9427" w:rsidR="00490F94" w:rsidRPr="0002081B" w:rsidRDefault="00490F94" w:rsidP="006F4DD2">
      <w:pPr>
        <w:pStyle w:val="FootnoteText"/>
        <w:rPr>
          <w:color w:val="000000" w:themeColor="text1"/>
        </w:rPr>
      </w:pPr>
      <w:r w:rsidRPr="00D547AD">
        <w:rPr>
          <w:rStyle w:val="FootnoteReference"/>
          <w:color w:val="000000" w:themeColor="text1"/>
        </w:rPr>
        <w:footnoteRef/>
      </w:r>
      <w:r w:rsidRPr="00D547AD">
        <w:rPr>
          <w:color w:val="000000" w:themeColor="text1"/>
        </w:rPr>
        <w:t xml:space="preserve"> </w:t>
      </w:r>
      <w:r w:rsidRPr="00D547AD">
        <w:rPr>
          <w:color w:val="000000" w:themeColor="text1"/>
        </w:rPr>
        <w:tab/>
        <w:t>Country visit Italy, High Council of the Judiciary, High Court of Cassation, National Association of Magistrates. See also MEDEL (2026), written input, p. 11.</w:t>
      </w:r>
      <w:r w:rsidRPr="007B6244">
        <w:rPr>
          <w:color w:val="000000" w:themeColor="text1"/>
        </w:rPr>
        <w:t xml:space="preserve"> </w:t>
      </w:r>
      <w:r w:rsidRPr="0002081B">
        <w:rPr>
          <w:color w:val="000000" w:themeColor="text1"/>
        </w:rPr>
        <w:t>Since July 2025, there have been three protective proceeding</w:t>
      </w:r>
      <w:r w:rsidR="00CF6FCD">
        <w:rPr>
          <w:color w:val="000000" w:themeColor="text1"/>
        </w:rPr>
        <w:t>s</w:t>
      </w:r>
      <w:r w:rsidRPr="0002081B">
        <w:rPr>
          <w:color w:val="000000" w:themeColor="text1"/>
        </w:rPr>
        <w:t xml:space="preserve"> (</w:t>
      </w:r>
      <w:r w:rsidRPr="0002081B">
        <w:rPr>
          <w:i/>
          <w:iCs/>
          <w:color w:val="000000" w:themeColor="text1"/>
        </w:rPr>
        <w:t>pratica a tutela</w:t>
      </w:r>
      <w:r w:rsidRPr="0002081B">
        <w:rPr>
          <w:color w:val="000000" w:themeColor="text1"/>
        </w:rPr>
        <w:t>) by the High Council of the Judiciary. They all concerned judges and prosecutors of the Court of Cassation targeted by political attacks, for their investigations in the Almasri case, their study on the ‘security decree’ (both in July 2025), and their decision on the text of the question for the referendum on the reform of the judiciary (in February 2026).</w:t>
      </w:r>
    </w:p>
  </w:footnote>
  <w:footnote w:id="6">
    <w:p w14:paraId="03B0C87D" w14:textId="77777777" w:rsidR="00490F94" w:rsidRPr="007B6244" w:rsidRDefault="00490F94" w:rsidP="006F4DD2">
      <w:pPr>
        <w:pStyle w:val="FootnoteText"/>
        <w:rPr>
          <w:color w:val="000000" w:themeColor="text1"/>
          <w:lang w:val="en-IE"/>
        </w:rPr>
      </w:pPr>
      <w:r w:rsidRPr="00D27FC8">
        <w:rPr>
          <w:rStyle w:val="FootnoteReference"/>
          <w:color w:val="000000" w:themeColor="text1"/>
        </w:rPr>
        <w:footnoteRef/>
      </w:r>
      <w:r w:rsidRPr="00D27FC8">
        <w:rPr>
          <w:color w:val="000000" w:themeColor="text1"/>
          <w:lang w:val="en-IE"/>
        </w:rPr>
        <w:t xml:space="preserve"> </w:t>
      </w:r>
      <w:r w:rsidRPr="00D27FC8">
        <w:rPr>
          <w:color w:val="000000" w:themeColor="text1"/>
          <w:lang w:val="en-IE"/>
        </w:rPr>
        <w:tab/>
        <w:t xml:space="preserve">Such statements also related to ongoing investigations and judicial decisions. </w:t>
      </w:r>
      <w:r w:rsidRPr="0002081B">
        <w:rPr>
          <w:color w:val="000000" w:themeColor="text1"/>
        </w:rPr>
        <w:t>President of the Republic (2026).</w:t>
      </w:r>
      <w:r>
        <w:rPr>
          <w:color w:val="000000" w:themeColor="text1"/>
        </w:rPr>
        <w:t xml:space="preserve"> </w:t>
      </w:r>
      <w:r w:rsidRPr="007B6244">
        <w:rPr>
          <w:color w:val="000000" w:themeColor="text1"/>
        </w:rPr>
        <w:t>Court of Cassation</w:t>
      </w:r>
      <w:r>
        <w:rPr>
          <w:color w:val="000000" w:themeColor="text1"/>
        </w:rPr>
        <w:t xml:space="preserve">, </w:t>
      </w:r>
      <w:r w:rsidRPr="007B6244">
        <w:rPr>
          <w:color w:val="000000" w:themeColor="text1"/>
        </w:rPr>
        <w:t>General Prosecutor (2026)</w:t>
      </w:r>
      <w:r w:rsidRPr="007B6244">
        <w:rPr>
          <w:color w:val="000000" w:themeColor="text1"/>
          <w:lang w:val="en-IE"/>
        </w:rPr>
        <w:t>.</w:t>
      </w:r>
      <w:r>
        <w:rPr>
          <w:color w:val="000000" w:themeColor="text1"/>
          <w:lang w:val="en-IE"/>
        </w:rPr>
        <w:t xml:space="preserve"> </w:t>
      </w:r>
      <w:r w:rsidRPr="007B6244">
        <w:rPr>
          <w:color w:val="000000" w:themeColor="text1"/>
        </w:rPr>
        <w:t>Court of Cassation</w:t>
      </w:r>
      <w:r>
        <w:rPr>
          <w:color w:val="000000" w:themeColor="text1"/>
        </w:rPr>
        <w:t xml:space="preserve">, </w:t>
      </w:r>
      <w:r w:rsidRPr="007B6244">
        <w:rPr>
          <w:color w:val="000000" w:themeColor="text1"/>
        </w:rPr>
        <w:t>First President (2026)</w:t>
      </w:r>
      <w:r w:rsidRPr="007B6244">
        <w:rPr>
          <w:color w:val="000000" w:themeColor="text1"/>
          <w:lang w:val="en-IE"/>
        </w:rPr>
        <w:t>.</w:t>
      </w:r>
    </w:p>
  </w:footnote>
  <w:footnote w:id="7">
    <w:p w14:paraId="30081FCE"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Council of Europe (2010), para. 18. </w:t>
      </w:r>
    </w:p>
  </w:footnote>
  <w:footnote w:id="8">
    <w:p w14:paraId="42B8E4BF"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Draft law </w:t>
      </w:r>
      <w:hyperlink r:id="rId2" w:history="1">
        <w:r w:rsidRPr="0002081B">
          <w:rPr>
            <w:rStyle w:val="Hyperlink"/>
          </w:rPr>
          <w:t>A.C. 2629</w:t>
        </w:r>
      </w:hyperlink>
      <w:r w:rsidRPr="0002081B">
        <w:t xml:space="preserve"> </w:t>
      </w:r>
      <w:r w:rsidRPr="0002081B">
        <w:rPr>
          <w:szCs w:val="22"/>
          <w:lang w:eastAsia="fr-FR"/>
        </w:rPr>
        <w:t>to reform Law No. 247 of 2012</w:t>
      </w:r>
      <w:r w:rsidRPr="0002081B">
        <w:t>. National Bar Association (</w:t>
      </w:r>
      <w:r w:rsidRPr="0002081B">
        <w:rPr>
          <w:i/>
          <w:iCs/>
        </w:rPr>
        <w:t>Consiglio Nazionale Forense</w:t>
      </w:r>
      <w:r w:rsidRPr="0002081B">
        <w:t>), written input via CCBE, replies to questions 15 and 23.</w:t>
      </w:r>
    </w:p>
  </w:footnote>
  <w:footnote w:id="9">
    <w:p w14:paraId="4A2C5518" w14:textId="77777777" w:rsidR="00490F94" w:rsidRPr="0002081B" w:rsidRDefault="00490F94" w:rsidP="006F4DD2">
      <w:pPr>
        <w:pStyle w:val="FootnoteText"/>
      </w:pPr>
      <w:r w:rsidRPr="0002081B">
        <w:rPr>
          <w:rStyle w:val="FootnoteReference"/>
        </w:rPr>
        <w:footnoteRef/>
      </w:r>
      <w:r w:rsidRPr="0002081B">
        <w:t xml:space="preserve"> </w:t>
      </w:r>
      <w:r w:rsidRPr="0002081B">
        <w:tab/>
        <w:t>Italian Government (2026), written input, p. 6. Ministry of Justice (2026), p. 379.</w:t>
      </w:r>
      <w:r w:rsidRPr="00397DA2">
        <w:t xml:space="preserve"> </w:t>
      </w:r>
    </w:p>
  </w:footnote>
  <w:footnote w:id="10">
    <w:p w14:paraId="21C94E2A" w14:textId="7B995EA4" w:rsidR="00490F94" w:rsidRPr="0002081B" w:rsidRDefault="00490F94" w:rsidP="006F4DD2">
      <w:pPr>
        <w:pStyle w:val="FootnoteText"/>
      </w:pPr>
      <w:r w:rsidRPr="0002081B">
        <w:rPr>
          <w:rStyle w:val="FootnoteReference"/>
        </w:rPr>
        <w:footnoteRef/>
      </w:r>
      <w:r w:rsidRPr="0002081B">
        <w:t xml:space="preserve"> </w:t>
      </w:r>
      <w:r w:rsidRPr="0002081B">
        <w:tab/>
      </w:r>
      <w:r w:rsidRPr="0002081B">
        <w:rPr>
          <w:lang w:eastAsia="fr-FR"/>
        </w:rPr>
        <w:t xml:space="preserve">In December 2025, </w:t>
      </w:r>
      <w:r w:rsidRPr="00BD5769">
        <w:rPr>
          <w:lang w:eastAsia="fr-FR"/>
        </w:rPr>
        <w:t>578 magistrates (</w:t>
      </w:r>
      <w:r w:rsidRPr="0002081B">
        <w:t>laureates of the competition launched in December 2021)</w:t>
      </w:r>
      <w:r w:rsidRPr="00BD5769">
        <w:rPr>
          <w:lang w:eastAsia="fr-FR"/>
        </w:rPr>
        <w:t xml:space="preserve"> </w:t>
      </w:r>
      <w:r w:rsidRPr="0002081B">
        <w:rPr>
          <w:lang w:eastAsia="fr-FR"/>
        </w:rPr>
        <w:t>completed their one-year traineeship and entered into service. In June 2026, 355</w:t>
      </w:r>
      <w:r>
        <w:rPr>
          <w:lang w:eastAsia="fr-FR"/>
        </w:rPr>
        <w:t xml:space="preserve"> more</w:t>
      </w:r>
      <w:r w:rsidRPr="0002081B">
        <w:rPr>
          <w:lang w:eastAsia="fr-FR"/>
        </w:rPr>
        <w:t xml:space="preserve"> magistrates (</w:t>
      </w:r>
      <w:r w:rsidRPr="0002081B">
        <w:t>laureate of the competition launched in October 2022)</w:t>
      </w:r>
      <w:r w:rsidRPr="0002081B">
        <w:rPr>
          <w:lang w:eastAsia="fr-FR"/>
        </w:rPr>
        <w:t xml:space="preserve"> </w:t>
      </w:r>
      <w:r>
        <w:rPr>
          <w:lang w:eastAsia="fr-FR"/>
        </w:rPr>
        <w:t>are set to</w:t>
      </w:r>
      <w:r w:rsidRPr="0002081B">
        <w:rPr>
          <w:lang w:eastAsia="fr-FR"/>
        </w:rPr>
        <w:t xml:space="preserve"> assume full service. In October 2025, 339 more (</w:t>
      </w:r>
      <w:r w:rsidRPr="0002081B">
        <w:t>laureates of the competition for 400 posts launched in October 2023)</w:t>
      </w:r>
      <w:r w:rsidRPr="0002081B">
        <w:rPr>
          <w:lang w:eastAsia="fr-FR"/>
        </w:rPr>
        <w:t xml:space="preserve"> started their 18-month traineeship and are set to enter service in April </w:t>
      </w:r>
      <w:r w:rsidRPr="009B3910">
        <w:rPr>
          <w:lang w:eastAsia="fr-FR"/>
        </w:rPr>
        <w:t xml:space="preserve">2027. </w:t>
      </w:r>
      <w:r w:rsidR="00AB133C" w:rsidRPr="009B3910">
        <w:rPr>
          <w:lang w:eastAsia="fr-FR"/>
        </w:rPr>
        <w:t xml:space="preserve">Following </w:t>
      </w:r>
      <w:r w:rsidR="00DA72E7">
        <w:rPr>
          <w:lang w:eastAsia="fr-FR"/>
        </w:rPr>
        <w:t xml:space="preserve">the completion of </w:t>
      </w:r>
      <w:r w:rsidR="00AB133C" w:rsidRPr="009B3910">
        <w:rPr>
          <w:lang w:eastAsia="fr-FR"/>
        </w:rPr>
        <w:t xml:space="preserve">a competition launched in April 2024, the appointment of 412 new judges is imminent. </w:t>
      </w:r>
      <w:r w:rsidRPr="009B3910">
        <w:rPr>
          <w:lang w:eastAsia="fr-FR"/>
        </w:rPr>
        <w:t xml:space="preserve">Competitions </w:t>
      </w:r>
      <w:r w:rsidRPr="002B3B0A">
        <w:rPr>
          <w:lang w:eastAsia="fr-FR"/>
        </w:rPr>
        <w:t xml:space="preserve">for </w:t>
      </w:r>
      <w:r w:rsidR="00496E07" w:rsidRPr="002B3B0A">
        <w:rPr>
          <w:lang w:eastAsia="fr-FR"/>
        </w:rPr>
        <w:t>8</w:t>
      </w:r>
      <w:r w:rsidR="004C32C9" w:rsidRPr="002B3B0A">
        <w:rPr>
          <w:lang w:eastAsia="fr-FR"/>
        </w:rPr>
        <w:t>00</w:t>
      </w:r>
      <w:r w:rsidRPr="002B3B0A">
        <w:rPr>
          <w:lang w:eastAsia="fr-FR"/>
        </w:rPr>
        <w:t xml:space="preserve"> </w:t>
      </w:r>
      <w:r w:rsidR="00496E07" w:rsidRPr="002B3B0A">
        <w:rPr>
          <w:lang w:eastAsia="fr-FR"/>
        </w:rPr>
        <w:t>additional</w:t>
      </w:r>
      <w:r w:rsidR="00496E07" w:rsidRPr="009B3910">
        <w:rPr>
          <w:lang w:eastAsia="fr-FR"/>
        </w:rPr>
        <w:t xml:space="preserve"> </w:t>
      </w:r>
      <w:r w:rsidRPr="009B3910">
        <w:rPr>
          <w:lang w:eastAsia="fr-FR"/>
        </w:rPr>
        <w:t xml:space="preserve">magistrates </w:t>
      </w:r>
      <w:r w:rsidRPr="009B3910">
        <w:t xml:space="preserve">were launched in December 2024 and October 2025 and </w:t>
      </w:r>
      <w:r w:rsidRPr="009B3910">
        <w:rPr>
          <w:lang w:eastAsia="fr-FR"/>
        </w:rPr>
        <w:t>are ongoing;</w:t>
      </w:r>
      <w:r w:rsidRPr="0002081B">
        <w:rPr>
          <w:lang w:eastAsia="fr-FR"/>
        </w:rPr>
        <w:t xml:space="preserve"> </w:t>
      </w:r>
      <w:r>
        <w:rPr>
          <w:lang w:eastAsia="fr-FR"/>
        </w:rPr>
        <w:t>their laureates</w:t>
      </w:r>
      <w:r w:rsidRPr="00BD5769">
        <w:rPr>
          <w:lang w:eastAsia="fr-FR"/>
        </w:rPr>
        <w:t xml:space="preserve"> </w:t>
      </w:r>
      <w:r>
        <w:rPr>
          <w:lang w:eastAsia="fr-FR"/>
        </w:rPr>
        <w:t>are set to</w:t>
      </w:r>
      <w:r w:rsidRPr="0002081B">
        <w:rPr>
          <w:lang w:eastAsia="fr-FR"/>
        </w:rPr>
        <w:t xml:space="preserve"> begin</w:t>
      </w:r>
      <w:r>
        <w:rPr>
          <w:lang w:eastAsia="fr-FR"/>
        </w:rPr>
        <w:t xml:space="preserve"> training</w:t>
      </w:r>
      <w:r w:rsidRPr="0002081B">
        <w:rPr>
          <w:lang w:eastAsia="fr-FR"/>
        </w:rPr>
        <w:t xml:space="preserve"> by June 2027.</w:t>
      </w:r>
      <w:r w:rsidRPr="0002081B">
        <w:t xml:space="preserve"> Italian Government (2026), written input, pp. 7-8. Ministry of Justice (2026), p</w:t>
      </w:r>
      <w:r>
        <w:t>p</w:t>
      </w:r>
      <w:r w:rsidRPr="0002081B">
        <w:t xml:space="preserve">. </w:t>
      </w:r>
      <w:r>
        <w:t>302-</w:t>
      </w:r>
      <w:r w:rsidRPr="0002081B">
        <w:t>303.</w:t>
      </w:r>
      <w:r w:rsidRPr="00BD5769">
        <w:rPr>
          <w:lang w:eastAsia="fr-FR"/>
        </w:rPr>
        <w:t xml:space="preserve"> </w:t>
      </w:r>
      <w:r w:rsidRPr="0002081B">
        <w:t xml:space="preserve"> </w:t>
      </w:r>
    </w:p>
  </w:footnote>
  <w:footnote w:id="11">
    <w:p w14:paraId="42C86FEF" w14:textId="77777777" w:rsidR="00490F94" w:rsidRPr="0002081B" w:rsidRDefault="00490F94" w:rsidP="006F4DD2">
      <w:pPr>
        <w:pStyle w:val="FootnoteText"/>
      </w:pPr>
      <w:r w:rsidRPr="0002081B">
        <w:rPr>
          <w:rStyle w:val="FootnoteReference"/>
        </w:rPr>
        <w:footnoteRef/>
      </w:r>
      <w:r w:rsidRPr="0002081B">
        <w:t xml:space="preserve"> </w:t>
      </w:r>
      <w:r w:rsidRPr="0002081B">
        <w:tab/>
        <w:t>1</w:t>
      </w:r>
      <w:r>
        <w:t> </w:t>
      </w:r>
      <w:r w:rsidRPr="0002081B">
        <w:t>600 - 1</w:t>
      </w:r>
      <w:r>
        <w:t> </w:t>
      </w:r>
      <w:r w:rsidRPr="0002081B">
        <w:t>800 vacancies out of 10</w:t>
      </w:r>
      <w:r>
        <w:t> </w:t>
      </w:r>
      <w:r w:rsidRPr="0002081B">
        <w:t>600 posts. Data extrapolated from: Ministry of Justice (2026), pp. 301-305. The shortages amounted to 17% in 2024.</w:t>
      </w:r>
      <w:r w:rsidRPr="00BD5769">
        <w:rPr>
          <w:lang w:eastAsia="fr-FR"/>
        </w:rPr>
        <w:t xml:space="preserve"> See 2025 Rule of Law Report</w:t>
      </w:r>
      <w:r>
        <w:rPr>
          <w:lang w:eastAsia="fr-FR"/>
        </w:rPr>
        <w:t>, Italy, p. 6</w:t>
      </w:r>
      <w:r w:rsidRPr="00BD5769">
        <w:rPr>
          <w:lang w:eastAsia="fr-FR"/>
        </w:rPr>
        <w:t>.</w:t>
      </w:r>
    </w:p>
  </w:footnote>
  <w:footnote w:id="12">
    <w:p w14:paraId="1E7AF307"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Italian Government (2026), written input, p. 8. </w:t>
      </w:r>
    </w:p>
  </w:footnote>
  <w:footnote w:id="13">
    <w:p w14:paraId="6DCA06CB" w14:textId="77777777" w:rsidR="00490F94" w:rsidRPr="0002081B" w:rsidRDefault="00490F94" w:rsidP="006F4DD2">
      <w:pPr>
        <w:pStyle w:val="FootnoteText"/>
      </w:pPr>
      <w:r w:rsidRPr="0002081B">
        <w:rPr>
          <w:rStyle w:val="FootnoteReference"/>
        </w:rPr>
        <w:footnoteRef/>
      </w:r>
      <w:r w:rsidRPr="0002081B">
        <w:t xml:space="preserve"> </w:t>
      </w:r>
      <w:r w:rsidRPr="0002081B">
        <w:tab/>
      </w:r>
      <w:r w:rsidRPr="0002081B">
        <w:rPr>
          <w:color w:val="000000" w:themeColor="text1"/>
        </w:rPr>
        <w:t>Court of Cassation</w:t>
      </w:r>
      <w:r>
        <w:rPr>
          <w:color w:val="000000" w:themeColor="text1"/>
        </w:rPr>
        <w:t xml:space="preserve">, </w:t>
      </w:r>
      <w:r w:rsidRPr="0002081B">
        <w:rPr>
          <w:color w:val="000000" w:themeColor="text1"/>
        </w:rPr>
        <w:t>First President (2026).</w:t>
      </w:r>
    </w:p>
  </w:footnote>
  <w:footnote w:id="14">
    <w:p w14:paraId="7A737CDF" w14:textId="119337C0" w:rsidR="00490F94" w:rsidRPr="0002081B" w:rsidRDefault="00490F94" w:rsidP="006F4DD2">
      <w:pPr>
        <w:pStyle w:val="FootnoteText"/>
      </w:pPr>
      <w:r w:rsidRPr="0002081B">
        <w:rPr>
          <w:rStyle w:val="FootnoteReference"/>
        </w:rPr>
        <w:footnoteRef/>
      </w:r>
      <w:r w:rsidRPr="0002081B">
        <w:t xml:space="preserve"> </w:t>
      </w:r>
      <w:r w:rsidRPr="0002081B">
        <w:tab/>
      </w:r>
      <w:r>
        <w:rPr>
          <w:lang w:eastAsia="fr-FR"/>
        </w:rPr>
        <w:t>Shortages</w:t>
      </w:r>
      <w:r w:rsidRPr="0002081B">
        <w:rPr>
          <w:lang w:eastAsia="fr-FR"/>
        </w:rPr>
        <w:t xml:space="preserve"> amounted to 21% of </w:t>
      </w:r>
      <w:r>
        <w:rPr>
          <w:lang w:eastAsia="fr-FR"/>
        </w:rPr>
        <w:t xml:space="preserve">judicial </w:t>
      </w:r>
      <w:r w:rsidRPr="0002081B">
        <w:rPr>
          <w:lang w:eastAsia="fr-FR"/>
        </w:rPr>
        <w:t xml:space="preserve">posts at the Court of Auditors, 17% among justices of the peace, 16% at the Court of Cassation, 13% among administrative judges, </w:t>
      </w:r>
      <w:r w:rsidRPr="006F7DB1">
        <w:rPr>
          <w:lang w:eastAsia="fr-FR"/>
        </w:rPr>
        <w:t xml:space="preserve">and </w:t>
      </w:r>
      <w:r w:rsidRPr="00D71250">
        <w:rPr>
          <w:lang w:eastAsia="fr-FR"/>
        </w:rPr>
        <w:t>55%</w:t>
      </w:r>
      <w:r w:rsidRPr="006F7DB1">
        <w:rPr>
          <w:lang w:eastAsia="fr-FR"/>
        </w:rPr>
        <w:t xml:space="preserve"> for</w:t>
      </w:r>
      <w:r w:rsidRPr="0002081B">
        <w:rPr>
          <w:lang w:eastAsia="fr-FR"/>
        </w:rPr>
        <w:t xml:space="preserve"> tax judges. Among administrative personnel, shortages amounted to 38% of posts at the Court of Cassation, 19% at administrative courts,</w:t>
      </w:r>
      <w:r w:rsidR="00A5783A">
        <w:rPr>
          <w:lang w:eastAsia="fr-FR"/>
        </w:rPr>
        <w:t xml:space="preserve"> 20% for tax courts</w:t>
      </w:r>
      <w:r w:rsidRPr="0002081B">
        <w:rPr>
          <w:lang w:eastAsia="fr-FR"/>
        </w:rPr>
        <w:t xml:space="preserve"> and 14.5% at the Court of Auditors. Sources: </w:t>
      </w:r>
      <w:r w:rsidRPr="0002081B">
        <w:t>Court of Cassation (2026</w:t>
      </w:r>
      <w:r>
        <w:t>a</w:t>
      </w:r>
      <w:r w:rsidRPr="0002081B">
        <w:t>), pp. 288-290. High Council of the Judiciary (2025a), p. 119. Ministry of Finance</w:t>
      </w:r>
      <w:r>
        <w:t xml:space="preserve"> (2025)</w:t>
      </w:r>
      <w:r w:rsidRPr="0002081B">
        <w:t>,</w:t>
      </w:r>
      <w:r>
        <w:t xml:space="preserve"> pp. 43 and 45</w:t>
      </w:r>
      <w:r w:rsidRPr="0002081B">
        <w:t>. Court of Auditors (2026), p.</w:t>
      </w:r>
      <w:r>
        <w:t xml:space="preserve"> </w:t>
      </w:r>
      <w:r w:rsidRPr="0002081B">
        <w:t>348.</w:t>
      </w:r>
      <w:r>
        <w:t xml:space="preserve"> Country visit Italy, </w:t>
      </w:r>
      <w:r w:rsidRPr="0002081B">
        <w:t>Council of State</w:t>
      </w:r>
      <w:r>
        <w:t xml:space="preserve">, </w:t>
      </w:r>
      <w:r w:rsidRPr="0002081B">
        <w:t>Constitutional Court</w:t>
      </w:r>
      <w:r>
        <w:t>, Board of the Tax Courts</w:t>
      </w:r>
      <w:r w:rsidRPr="0002081B">
        <w:t>.</w:t>
      </w:r>
    </w:p>
  </w:footnote>
  <w:footnote w:id="15">
    <w:p w14:paraId="3B8A8334" w14:textId="77777777" w:rsidR="00490F94" w:rsidRPr="0002081B" w:rsidRDefault="00490F94" w:rsidP="006F4DD2">
      <w:pPr>
        <w:pStyle w:val="FootnoteText"/>
      </w:pPr>
      <w:r w:rsidRPr="0002081B">
        <w:rPr>
          <w:rStyle w:val="FootnoteReference"/>
        </w:rPr>
        <w:footnoteRef/>
      </w:r>
      <w:r w:rsidRPr="0002081B">
        <w:t xml:space="preserve"> </w:t>
      </w:r>
      <w:r w:rsidRPr="0002081B">
        <w:tab/>
      </w:r>
      <w:r>
        <w:t xml:space="preserve">This is </w:t>
      </w:r>
      <w:r w:rsidRPr="0FF586BA">
        <w:rPr>
          <w:lang w:eastAsia="fr-FR"/>
        </w:rPr>
        <w:t>up from 33% and set to increase due to retirements</w:t>
      </w:r>
      <w:r>
        <w:rPr>
          <w:lang w:eastAsia="fr-FR"/>
        </w:rPr>
        <w:t>.</w:t>
      </w:r>
      <w:r w:rsidRPr="0002081B">
        <w:t xml:space="preserve"> Court of Cassation (2026</w:t>
      </w:r>
      <w:r>
        <w:t>a</w:t>
      </w:r>
      <w:r w:rsidRPr="0002081B">
        <w:t>), pp. 288-290.</w:t>
      </w:r>
    </w:p>
  </w:footnote>
  <w:footnote w:id="16">
    <w:p w14:paraId="4BD83609" w14:textId="77777777" w:rsidR="00490F94" w:rsidRPr="007C4638" w:rsidRDefault="00490F94" w:rsidP="006F4DD2">
      <w:pPr>
        <w:pStyle w:val="FootnoteText"/>
        <w:rPr>
          <w:lang w:val="en-IE"/>
        </w:rPr>
      </w:pPr>
      <w:r w:rsidRPr="0002081B">
        <w:rPr>
          <w:rStyle w:val="FootnoteReference"/>
        </w:rPr>
        <w:footnoteRef/>
      </w:r>
      <w:r w:rsidRPr="0002081B">
        <w:t xml:space="preserve"> </w:t>
      </w:r>
      <w:r w:rsidRPr="0002081B">
        <w:tab/>
        <w:t xml:space="preserve">Data </w:t>
      </w:r>
      <w:r>
        <w:t>on</w:t>
      </w:r>
      <w:r w:rsidRPr="0002081B">
        <w:t xml:space="preserve"> 28 November 2025. High Council of the Judiciary (2025a), p. 119. New competences had been </w:t>
      </w:r>
      <w:r>
        <w:t>postponed</w:t>
      </w:r>
      <w:r w:rsidRPr="0002081B">
        <w:t xml:space="preserve"> from October 2025</w:t>
      </w:r>
      <w:r>
        <w:t xml:space="preserve"> to end June 2026</w:t>
      </w:r>
      <w:r w:rsidRPr="0002081B">
        <w:t xml:space="preserve"> due to severe shortages </w:t>
      </w:r>
      <w:r>
        <w:t xml:space="preserve">of </w:t>
      </w:r>
      <w:r w:rsidRPr="0FF586BA">
        <w:rPr>
          <w:lang w:eastAsia="fr-FR"/>
        </w:rPr>
        <w:t xml:space="preserve">justices of the peace </w:t>
      </w:r>
      <w:r w:rsidRPr="0002081B">
        <w:t xml:space="preserve">(65%). </w:t>
      </w:r>
    </w:p>
  </w:footnote>
  <w:footnote w:id="17">
    <w:p w14:paraId="409DD06F" w14:textId="725E83F7" w:rsidR="00490F94" w:rsidRPr="00EF7F64" w:rsidRDefault="00490F94" w:rsidP="006F4DD2">
      <w:pPr>
        <w:pStyle w:val="FootnoteText"/>
        <w:rPr>
          <w:color w:val="000000" w:themeColor="text1"/>
        </w:rPr>
      </w:pPr>
      <w:r w:rsidRPr="0002081B">
        <w:rPr>
          <w:rStyle w:val="FootnoteReference"/>
        </w:rPr>
        <w:footnoteRef/>
      </w:r>
      <w:r w:rsidRPr="007C4638">
        <w:rPr>
          <w:lang w:val="en-IE"/>
        </w:rPr>
        <w:t xml:space="preserve"> </w:t>
      </w:r>
      <w:r w:rsidRPr="007C4638">
        <w:rPr>
          <w:lang w:val="en-IE"/>
        </w:rPr>
        <w:tab/>
        <w:t>C</w:t>
      </w:r>
      <w:r w:rsidRPr="007C4638">
        <w:rPr>
          <w:lang w:val="en-IE" w:eastAsia="fr-FR"/>
        </w:rPr>
        <w:t>ountry visit Italy,</w:t>
      </w:r>
      <w:r w:rsidRPr="007C4638">
        <w:rPr>
          <w:lang w:val="en-IE"/>
        </w:rPr>
        <w:t xml:space="preserve"> Board of the Tax Courts (</w:t>
      </w:r>
      <w:r w:rsidRPr="007C4638">
        <w:rPr>
          <w:i/>
          <w:lang w:val="en-IE"/>
        </w:rPr>
        <w:t>Consiglio di Presidenza della Giustizia Tributaria</w:t>
      </w:r>
      <w:r w:rsidRPr="007C4638">
        <w:rPr>
          <w:lang w:val="en-IE"/>
        </w:rPr>
        <w:t>)</w:t>
      </w:r>
      <w:r w:rsidRPr="007C4638">
        <w:rPr>
          <w:color w:val="000000" w:themeColor="text1"/>
          <w:lang w:val="en-IE"/>
        </w:rPr>
        <w:t xml:space="preserve">. </w:t>
      </w:r>
    </w:p>
  </w:footnote>
  <w:footnote w:id="18">
    <w:p w14:paraId="01521203" w14:textId="77777777" w:rsidR="00490F94" w:rsidRPr="0002081B" w:rsidRDefault="00490F94" w:rsidP="006F4DD2">
      <w:pPr>
        <w:pStyle w:val="FootnoteText"/>
        <w:rPr>
          <w:color w:val="000000" w:themeColor="text1"/>
        </w:rPr>
      </w:pPr>
      <w:r w:rsidRPr="0002081B">
        <w:rPr>
          <w:rStyle w:val="FootnoteReference"/>
        </w:rPr>
        <w:footnoteRef/>
      </w:r>
      <w:r w:rsidRPr="007C4638">
        <w:rPr>
          <w:lang w:val="en-IE"/>
        </w:rPr>
        <w:t xml:space="preserve"> </w:t>
      </w:r>
      <w:r w:rsidRPr="007C4638">
        <w:rPr>
          <w:lang w:val="en-IE"/>
        </w:rPr>
        <w:tab/>
        <w:t>C</w:t>
      </w:r>
      <w:r w:rsidRPr="007C4638">
        <w:rPr>
          <w:lang w:val="en-IE" w:eastAsia="fr-FR"/>
        </w:rPr>
        <w:t>ountry visit Italy,</w:t>
      </w:r>
      <w:r w:rsidRPr="007C4638">
        <w:rPr>
          <w:lang w:val="en-IE"/>
        </w:rPr>
        <w:t xml:space="preserve"> Board of the Tax Courts</w:t>
      </w:r>
      <w:r w:rsidRPr="007C4638">
        <w:rPr>
          <w:lang w:val="en-IE" w:eastAsia="fr-FR"/>
        </w:rPr>
        <w:t xml:space="preserve">. </w:t>
      </w:r>
      <w:r w:rsidRPr="0002081B">
        <w:rPr>
          <w:lang w:eastAsia="fr-FR"/>
        </w:rPr>
        <w:t>Honorary tax judges are paid</w:t>
      </w:r>
      <w:r>
        <w:rPr>
          <w:lang w:eastAsia="fr-FR"/>
        </w:rPr>
        <w:t xml:space="preserve"> some</w:t>
      </w:r>
      <w:r w:rsidRPr="0002081B">
        <w:rPr>
          <w:lang w:eastAsia="fr-FR"/>
        </w:rPr>
        <w:t xml:space="preserve"> €</w:t>
      </w:r>
      <w:r>
        <w:rPr>
          <w:lang w:eastAsia="fr-FR"/>
        </w:rPr>
        <w:t>9</w:t>
      </w:r>
      <w:r w:rsidRPr="0002081B">
        <w:rPr>
          <w:lang w:eastAsia="fr-FR"/>
        </w:rPr>
        <w:t>00 per month, plus €100 per ruling</w:t>
      </w:r>
      <w:r>
        <w:rPr>
          <w:lang w:eastAsia="fr-FR"/>
        </w:rPr>
        <w:t xml:space="preserve"> (with no increase since 2006), and </w:t>
      </w:r>
      <w:r w:rsidRPr="00C85F5F">
        <w:rPr>
          <w:lang w:eastAsia="fr-FR"/>
        </w:rPr>
        <w:t>are not covered by pension</w:t>
      </w:r>
      <w:r>
        <w:rPr>
          <w:lang w:eastAsia="fr-FR"/>
        </w:rPr>
        <w:t>,</w:t>
      </w:r>
      <w:r w:rsidRPr="00C85F5F">
        <w:rPr>
          <w:lang w:eastAsia="fr-FR"/>
        </w:rPr>
        <w:t xml:space="preserve"> insurance</w:t>
      </w:r>
      <w:r>
        <w:rPr>
          <w:lang w:eastAsia="fr-FR"/>
        </w:rPr>
        <w:t>, or</w:t>
      </w:r>
      <w:r w:rsidRPr="00C85F5F">
        <w:rPr>
          <w:lang w:eastAsia="fr-FR"/>
        </w:rPr>
        <w:t xml:space="preserve"> maternity schemes</w:t>
      </w:r>
      <w:r>
        <w:rPr>
          <w:lang w:eastAsia="fr-FR"/>
        </w:rPr>
        <w:t xml:space="preserve">. </w:t>
      </w:r>
    </w:p>
  </w:footnote>
  <w:footnote w:id="19">
    <w:p w14:paraId="4489AED8" w14:textId="77777777" w:rsidR="00490F94" w:rsidRPr="0002081B" w:rsidRDefault="00490F94" w:rsidP="006F4DD2">
      <w:pPr>
        <w:pStyle w:val="FootnoteText"/>
      </w:pPr>
      <w:r w:rsidRPr="0002081B">
        <w:rPr>
          <w:rStyle w:val="FootnoteReference"/>
        </w:rPr>
        <w:footnoteRef/>
      </w:r>
      <w:r w:rsidRPr="0002081B">
        <w:t xml:space="preserve"> </w:t>
      </w:r>
      <w:r w:rsidRPr="0002081B">
        <w:tab/>
        <w:t>Court of Cassation, Council of State</w:t>
      </w:r>
      <w:r>
        <w:t xml:space="preserve">, </w:t>
      </w:r>
      <w:r w:rsidRPr="0002081B">
        <w:t>National Bar Association</w:t>
      </w:r>
      <w:r>
        <w:t xml:space="preserve"> (2026)</w:t>
      </w:r>
      <w:r w:rsidRPr="0002081B">
        <w:t>, written input</w:t>
      </w:r>
      <w:r>
        <w:t>s</w:t>
      </w:r>
      <w:r w:rsidRPr="0002081B">
        <w:t>, pp. 10-11</w:t>
      </w:r>
      <w:r>
        <w:t xml:space="preserve">, </w:t>
      </w:r>
      <w:r w:rsidRPr="0002081B">
        <w:t>pp. 1-2</w:t>
      </w:r>
      <w:r>
        <w:t xml:space="preserve"> and</w:t>
      </w:r>
      <w:r w:rsidRPr="0002081B">
        <w:t xml:space="preserve"> p. 11</w:t>
      </w:r>
      <w:r w:rsidRPr="00F62365">
        <w:t xml:space="preserve"> </w:t>
      </w:r>
      <w:r w:rsidRPr="0002081B">
        <w:t>respectively.</w:t>
      </w:r>
      <w:r w:rsidRPr="00BD5769">
        <w:rPr>
          <w:lang w:eastAsia="fr-FR"/>
        </w:rPr>
        <w:t xml:space="preserve"> </w:t>
      </w:r>
    </w:p>
  </w:footnote>
  <w:footnote w:id="20">
    <w:p w14:paraId="71055F52" w14:textId="674EE4C7" w:rsidR="00490F94" w:rsidRPr="0002081B" w:rsidRDefault="00490F94" w:rsidP="006F4DD2">
      <w:pPr>
        <w:pStyle w:val="FootnoteText"/>
        <w:rPr>
          <w:color w:val="808080" w:themeColor="background1" w:themeShade="80"/>
        </w:rPr>
      </w:pPr>
      <w:r w:rsidRPr="0002081B">
        <w:rPr>
          <w:rStyle w:val="FootnoteReference"/>
        </w:rPr>
        <w:footnoteRef/>
      </w:r>
      <w:r w:rsidRPr="0002081B">
        <w:t xml:space="preserve"> </w:t>
      </w:r>
      <w:r w:rsidRPr="0002081B">
        <w:tab/>
        <w:t xml:space="preserve">Italian Government (2026), written input, p. 11. </w:t>
      </w:r>
      <w:r w:rsidRPr="0002081B">
        <w:rPr>
          <w:lang w:eastAsia="fr-FR"/>
        </w:rPr>
        <w:t xml:space="preserve">The first notices of competition were issued on 17 December 2025 for 1 660 </w:t>
      </w:r>
      <w:r w:rsidRPr="007C4638">
        <w:t>officials</w:t>
      </w:r>
      <w:r w:rsidRPr="0002081B">
        <w:rPr>
          <w:lang w:eastAsia="fr-FR"/>
        </w:rPr>
        <w:t xml:space="preserve"> and 63 </w:t>
      </w:r>
      <w:r w:rsidRPr="007C4638">
        <w:t>assistants</w:t>
      </w:r>
      <w:r w:rsidRPr="0002081B">
        <w:rPr>
          <w:lang w:eastAsia="fr-FR"/>
        </w:rPr>
        <w:t xml:space="preserve"> to be recruited from among former RRP-funded staff.</w:t>
      </w:r>
      <w:r>
        <w:rPr>
          <w:lang w:eastAsia="fr-FR"/>
        </w:rPr>
        <w:t xml:space="preserve"> </w:t>
      </w:r>
      <w:r w:rsidRPr="0002081B">
        <w:rPr>
          <w:lang w:eastAsia="fr-FR"/>
        </w:rPr>
        <w:t xml:space="preserve">Over €349 million </w:t>
      </w:r>
      <w:r>
        <w:rPr>
          <w:lang w:eastAsia="fr-FR"/>
        </w:rPr>
        <w:t xml:space="preserve">were allocated </w:t>
      </w:r>
      <w:r w:rsidRPr="0002081B">
        <w:rPr>
          <w:lang w:eastAsia="fr-FR"/>
        </w:rPr>
        <w:t>for the recruitments</w:t>
      </w:r>
      <w:r w:rsidRPr="006B7E91">
        <w:rPr>
          <w:lang w:eastAsia="fr-FR"/>
        </w:rPr>
        <w:t xml:space="preserve"> as part of the 2026-2028 Integrated Activity and Organization Plan (PIAO). Notice</w:t>
      </w:r>
      <w:r w:rsidRPr="007C4638">
        <w:rPr>
          <w:lang w:eastAsia="fr-FR"/>
        </w:rPr>
        <w:t>s</w:t>
      </w:r>
      <w:r w:rsidRPr="006B7E91">
        <w:rPr>
          <w:lang w:eastAsia="fr-FR"/>
        </w:rPr>
        <w:t xml:space="preserve"> of competition for </w:t>
      </w:r>
      <w:r w:rsidRPr="007C4638">
        <w:t>6 919 officials</w:t>
      </w:r>
      <w:r w:rsidRPr="007C4638">
        <w:rPr>
          <w:lang w:eastAsia="fr-FR"/>
        </w:rPr>
        <w:t xml:space="preserve">, </w:t>
      </w:r>
      <w:r w:rsidRPr="006B7E91">
        <w:rPr>
          <w:lang w:eastAsia="fr-FR"/>
        </w:rPr>
        <w:t xml:space="preserve">712 </w:t>
      </w:r>
      <w:r w:rsidRPr="007C4638">
        <w:rPr>
          <w:lang w:eastAsia="fr-FR"/>
        </w:rPr>
        <w:t>administrative staff</w:t>
      </w:r>
      <w:r w:rsidRPr="006B7E91">
        <w:rPr>
          <w:lang w:eastAsia="fr-FR"/>
        </w:rPr>
        <w:t xml:space="preserve"> and 1 488 data entry operator</w:t>
      </w:r>
      <w:r w:rsidRPr="007C4638">
        <w:rPr>
          <w:lang w:eastAsia="fr-FR"/>
        </w:rPr>
        <w:t>s</w:t>
      </w:r>
      <w:r w:rsidRPr="006B7E91">
        <w:rPr>
          <w:lang w:eastAsia="fr-FR"/>
        </w:rPr>
        <w:t xml:space="preserve"> </w:t>
      </w:r>
      <w:r w:rsidRPr="007C4638">
        <w:rPr>
          <w:lang w:eastAsia="fr-FR"/>
        </w:rPr>
        <w:t>were</w:t>
      </w:r>
      <w:r w:rsidRPr="006B7E91">
        <w:rPr>
          <w:lang w:eastAsia="fr-FR"/>
        </w:rPr>
        <w:t xml:space="preserve"> issued on 16 March</w:t>
      </w:r>
      <w:r w:rsidRPr="007C4638">
        <w:rPr>
          <w:lang w:eastAsia="fr-FR"/>
        </w:rPr>
        <w:t>, with entry into office foreseen on 1 July 2026</w:t>
      </w:r>
      <w:r w:rsidRPr="006B7E91">
        <w:rPr>
          <w:lang w:eastAsia="fr-FR"/>
        </w:rPr>
        <w:t>.</w:t>
      </w:r>
    </w:p>
  </w:footnote>
  <w:footnote w:id="21">
    <w:p w14:paraId="7626C3B3" w14:textId="77552B9D" w:rsidR="00490F94" w:rsidRPr="002B3B0A" w:rsidRDefault="00490F94" w:rsidP="006F4DD2">
      <w:pPr>
        <w:pStyle w:val="FootnoteText"/>
        <w:rPr>
          <w:i/>
          <w:iCs/>
          <w:color w:val="808080" w:themeColor="background1" w:themeShade="80"/>
        </w:rPr>
      </w:pPr>
      <w:r w:rsidRPr="0002081B">
        <w:rPr>
          <w:rStyle w:val="FootnoteReference"/>
        </w:rPr>
        <w:footnoteRef/>
      </w:r>
      <w:r w:rsidRPr="0002081B">
        <w:t xml:space="preserve"> </w:t>
      </w:r>
      <w:r w:rsidRPr="0002081B">
        <w:tab/>
        <w:t>Country visit</w:t>
      </w:r>
      <w:r>
        <w:t xml:space="preserve"> Italy</w:t>
      </w:r>
      <w:r w:rsidRPr="0002081B">
        <w:t>, National Association of Magistrates.</w:t>
      </w:r>
      <w:r w:rsidR="00FF75D7">
        <w:t xml:space="preserve"> </w:t>
      </w:r>
    </w:p>
  </w:footnote>
  <w:footnote w:id="22">
    <w:p w14:paraId="482E8E0E" w14:textId="77777777" w:rsidR="00490F94" w:rsidRPr="0002081B" w:rsidRDefault="00490F94" w:rsidP="006F4DD2">
      <w:pPr>
        <w:pStyle w:val="FootnoteText"/>
      </w:pPr>
      <w:r w:rsidRPr="0002081B">
        <w:rPr>
          <w:rStyle w:val="FootnoteReference"/>
        </w:rPr>
        <w:footnoteRef/>
      </w:r>
      <w:r w:rsidRPr="0002081B">
        <w:t xml:space="preserve"> </w:t>
      </w:r>
      <w:r w:rsidRPr="0002081B">
        <w:tab/>
      </w:r>
      <w:r w:rsidRPr="0002081B">
        <w:rPr>
          <w:lang w:eastAsia="fr-FR"/>
        </w:rPr>
        <w:t>The 2025 Rule of Law Report recommended to Italy to ‘[c]omplete the digital case management system for criminal courts and prosecutors’ offices”. Some progress was previously assessed in 2025 and 2024, and significant progress in 2023.</w:t>
      </w:r>
    </w:p>
  </w:footnote>
  <w:footnote w:id="23">
    <w:p w14:paraId="3D0C9BCF" w14:textId="46F67409" w:rsidR="00490F94" w:rsidRPr="0002081B" w:rsidRDefault="00490F94" w:rsidP="006F4DD2">
      <w:pPr>
        <w:pStyle w:val="FootnoteText"/>
      </w:pPr>
      <w:r w:rsidRPr="0002081B">
        <w:rPr>
          <w:rStyle w:val="FootnoteReference"/>
        </w:rPr>
        <w:footnoteRef/>
      </w:r>
      <w:r w:rsidRPr="0002081B">
        <w:t xml:space="preserve"> </w:t>
      </w:r>
      <w:r w:rsidRPr="0002081B">
        <w:tab/>
        <w:t>Figure</w:t>
      </w:r>
      <w:r>
        <w:t>s</w:t>
      </w:r>
      <w:r w:rsidRPr="0002081B">
        <w:t xml:space="preserve"> 4</w:t>
      </w:r>
      <w:r>
        <w:t xml:space="preserve">1-47, </w:t>
      </w:r>
      <w:r w:rsidRPr="0002081B">
        <w:t>202</w:t>
      </w:r>
      <w:r>
        <w:t>6</w:t>
      </w:r>
      <w:r w:rsidRPr="0002081B">
        <w:t xml:space="preserve"> EU Justice Scoreboard.</w:t>
      </w:r>
      <w:r w:rsidR="00E0716D">
        <w:t xml:space="preserve"> </w:t>
      </w:r>
      <w:r w:rsidR="003D3445" w:rsidRPr="002B3B0A">
        <w:t>The decree-law of 4 June 2026 allocat</w:t>
      </w:r>
      <w:r w:rsidR="003D3445">
        <w:t>ed</w:t>
      </w:r>
      <w:r w:rsidR="003D3445" w:rsidRPr="002B3B0A">
        <w:t xml:space="preserve"> additional funding to the digitalisation of the justice system,</w:t>
      </w:r>
      <w:r w:rsidR="003D3445">
        <w:t xml:space="preserve"> to</w:t>
      </w:r>
      <w:r w:rsidR="003D3445" w:rsidRPr="002B3B0A">
        <w:t xml:space="preserve"> </w:t>
      </w:r>
      <w:r w:rsidR="003D3445">
        <w:t>ensure</w:t>
      </w:r>
      <w:r w:rsidR="003D3445" w:rsidRPr="002B3B0A">
        <w:t xml:space="preserve"> connectivity and enhance digital infrastructure </w:t>
      </w:r>
      <w:r w:rsidR="003D3445">
        <w:t>security.</w:t>
      </w:r>
    </w:p>
  </w:footnote>
  <w:footnote w:id="24">
    <w:p w14:paraId="27C21D2E" w14:textId="77777777" w:rsidR="00490F94" w:rsidRPr="0002081B" w:rsidRDefault="00490F94" w:rsidP="006F4DD2">
      <w:pPr>
        <w:pStyle w:val="FootnoteText"/>
      </w:pPr>
      <w:r w:rsidRPr="0002081B">
        <w:rPr>
          <w:rStyle w:val="FootnoteReference"/>
        </w:rPr>
        <w:footnoteRef/>
      </w:r>
      <w:r w:rsidRPr="0002081B">
        <w:t xml:space="preserve"> </w:t>
      </w:r>
      <w:r w:rsidRPr="0002081B">
        <w:tab/>
      </w:r>
      <w:r w:rsidRPr="0002081B">
        <w:rPr>
          <w:i/>
          <w:iCs/>
        </w:rPr>
        <w:t>Applicativo del Processo Penale</w:t>
      </w:r>
      <w:r w:rsidRPr="0002081B">
        <w:t>, see Decree of the Ministry of Justice No. 206 of 2024.</w:t>
      </w:r>
    </w:p>
  </w:footnote>
  <w:footnote w:id="25">
    <w:p w14:paraId="5CE64467" w14:textId="77777777" w:rsidR="00490F94" w:rsidRPr="0002081B" w:rsidRDefault="00490F94" w:rsidP="006F4DD2">
      <w:pPr>
        <w:pStyle w:val="FootnoteText"/>
        <w:rPr>
          <w:lang w:eastAsia="fr-FR"/>
        </w:rPr>
      </w:pPr>
      <w:r w:rsidRPr="0002081B">
        <w:rPr>
          <w:rStyle w:val="FootnoteReference"/>
        </w:rPr>
        <w:footnoteRef/>
      </w:r>
      <w:r w:rsidRPr="0002081B">
        <w:t xml:space="preserve"> </w:t>
      </w:r>
      <w:r w:rsidRPr="0002081B">
        <w:tab/>
        <w:t>For more details on the technical challenges, see the 2025 Rule of Law Report</w:t>
      </w:r>
      <w:r>
        <w:t>, Italy, p. 7</w:t>
      </w:r>
      <w:r w:rsidRPr="0002081B">
        <w:rPr>
          <w:lang w:eastAsia="fr-FR"/>
        </w:rPr>
        <w:t>.</w:t>
      </w:r>
    </w:p>
  </w:footnote>
  <w:footnote w:id="26">
    <w:p w14:paraId="08DB0354" w14:textId="77777777" w:rsidR="00490F94" w:rsidRPr="0002081B" w:rsidRDefault="00490F94" w:rsidP="006F4DD2">
      <w:pPr>
        <w:pStyle w:val="FootnoteText"/>
        <w:rPr>
          <w:lang w:eastAsia="fr-FR"/>
        </w:rPr>
      </w:pPr>
      <w:r w:rsidRPr="0002081B">
        <w:rPr>
          <w:rStyle w:val="FootnoteReference"/>
        </w:rPr>
        <w:footnoteRef/>
      </w:r>
      <w:r w:rsidRPr="0002081B">
        <w:t xml:space="preserve"> </w:t>
      </w:r>
      <w:r w:rsidRPr="0002081B">
        <w:tab/>
        <w:t>Italian Government (2026), written input, p. 16.</w:t>
      </w:r>
    </w:p>
  </w:footnote>
  <w:footnote w:id="27">
    <w:p w14:paraId="551B742C" w14:textId="77777777" w:rsidR="00490F94" w:rsidRPr="007B6244" w:rsidRDefault="00490F94" w:rsidP="006F4DD2">
      <w:pPr>
        <w:pStyle w:val="FootnoteText"/>
        <w:rPr>
          <w:lang w:val="it-IT" w:eastAsia="fr-FR"/>
        </w:rPr>
      </w:pPr>
      <w:r w:rsidRPr="0002081B">
        <w:rPr>
          <w:rStyle w:val="FootnoteReference"/>
        </w:rPr>
        <w:footnoteRef/>
      </w:r>
      <w:r w:rsidRPr="007B6244">
        <w:rPr>
          <w:lang w:val="it-IT"/>
        </w:rPr>
        <w:t xml:space="preserve"> </w:t>
      </w:r>
      <w:r w:rsidRPr="007B6244">
        <w:rPr>
          <w:lang w:val="it-IT"/>
        </w:rPr>
        <w:tab/>
      </w:r>
      <w:r w:rsidRPr="007B6244">
        <w:rPr>
          <w:i/>
          <w:iCs/>
          <w:lang w:val="it-IT"/>
        </w:rPr>
        <w:t>Portale Notizie di Reato</w:t>
      </w:r>
      <w:r w:rsidRPr="007B6244">
        <w:rPr>
          <w:lang w:val="it-IT"/>
        </w:rPr>
        <w:t xml:space="preserve"> (PNR) and </w:t>
      </w:r>
      <w:r w:rsidRPr="007B6244">
        <w:rPr>
          <w:i/>
          <w:iCs/>
          <w:lang w:val="it-IT"/>
        </w:rPr>
        <w:t>Portale Deposito Atti Penali</w:t>
      </w:r>
      <w:r w:rsidRPr="007B6244">
        <w:rPr>
          <w:lang w:val="it-IT"/>
        </w:rPr>
        <w:t xml:space="preserve"> (PDP).</w:t>
      </w:r>
    </w:p>
  </w:footnote>
  <w:footnote w:id="28">
    <w:p w14:paraId="1944A0D7" w14:textId="77777777" w:rsidR="00490F94" w:rsidRPr="0002081B" w:rsidRDefault="00490F94" w:rsidP="006F4DD2">
      <w:pPr>
        <w:pStyle w:val="FootnoteText"/>
        <w:rPr>
          <w:lang w:eastAsia="fr-FR"/>
        </w:rPr>
      </w:pPr>
      <w:r w:rsidRPr="0002081B">
        <w:rPr>
          <w:rStyle w:val="FootnoteReference"/>
        </w:rPr>
        <w:footnoteRef/>
      </w:r>
      <w:r w:rsidRPr="0002081B">
        <w:t xml:space="preserve"> </w:t>
      </w:r>
      <w:r w:rsidRPr="0002081B">
        <w:tab/>
        <w:t>Italian Government (2026), written input, p. 16.</w:t>
      </w:r>
    </w:p>
  </w:footnote>
  <w:footnote w:id="29">
    <w:p w14:paraId="78DB1E4F" w14:textId="77777777" w:rsidR="00490F94" w:rsidRPr="0002081B" w:rsidRDefault="00490F94" w:rsidP="006F4DD2">
      <w:pPr>
        <w:pStyle w:val="FootnoteText"/>
        <w:rPr>
          <w:lang w:eastAsia="fr-FR"/>
        </w:rPr>
      </w:pPr>
      <w:r w:rsidRPr="0002081B">
        <w:rPr>
          <w:rStyle w:val="FootnoteReference"/>
        </w:rPr>
        <w:footnoteRef/>
      </w:r>
      <w:r w:rsidRPr="0002081B">
        <w:t xml:space="preserve"> </w:t>
      </w:r>
      <w:r w:rsidRPr="0002081B">
        <w:tab/>
        <w:t>Procedures that remain possible both on paper and online include the lodging of appeals (</w:t>
      </w:r>
      <w:r w:rsidRPr="0002081B">
        <w:rPr>
          <w:i/>
          <w:iCs/>
        </w:rPr>
        <w:t>impugnazioni</w:t>
      </w:r>
      <w:r w:rsidRPr="0002081B">
        <w:t>), pre-trial supervision measures (</w:t>
      </w:r>
      <w:r w:rsidRPr="0002081B">
        <w:rPr>
          <w:i/>
          <w:iCs/>
        </w:rPr>
        <w:t>misure cautelari</w:t>
      </w:r>
      <w:r w:rsidRPr="0002081B">
        <w:t>), and enforcement proceedings (</w:t>
      </w:r>
      <w:r w:rsidRPr="0002081B">
        <w:rPr>
          <w:i/>
          <w:iCs/>
        </w:rPr>
        <w:t>procedimenti esecutivi</w:t>
      </w:r>
      <w:r w:rsidRPr="0002081B">
        <w:t xml:space="preserve">). Appeal courts and justices of peace are set to </w:t>
      </w:r>
      <w:r>
        <w:t>introduce</w:t>
      </w:r>
      <w:r w:rsidRPr="0002081B">
        <w:t xml:space="preserve"> digital proceedings in 2026, while the Court of Cassation uses separate applications that are not interoperable. Country visit, High Council of the Judiciary, </w:t>
      </w:r>
      <w:r w:rsidRPr="0002081B">
        <w:rPr>
          <w:lang w:eastAsia="fr-FR"/>
        </w:rPr>
        <w:t>National Association of Magistrates, Union of Italian Criminal Chambers</w:t>
      </w:r>
      <w:r w:rsidRPr="0002081B">
        <w:t xml:space="preserve">. </w:t>
      </w:r>
      <w:r>
        <w:t>EJN (2025)</w:t>
      </w:r>
      <w:r w:rsidRPr="0002081B">
        <w:t>.</w:t>
      </w:r>
    </w:p>
  </w:footnote>
  <w:footnote w:id="30">
    <w:p w14:paraId="6BEF8714" w14:textId="4BE77410" w:rsidR="00490F94" w:rsidRPr="0002081B" w:rsidDel="00E4136F" w:rsidRDefault="00490F94" w:rsidP="006F4DD2">
      <w:pPr>
        <w:pStyle w:val="FootnoteText"/>
        <w:rPr>
          <w:lang w:eastAsia="fr-FR"/>
        </w:rPr>
      </w:pPr>
      <w:r w:rsidRPr="0002081B">
        <w:rPr>
          <w:rStyle w:val="FootnoteReference"/>
        </w:rPr>
        <w:footnoteRef/>
      </w:r>
      <w:r w:rsidRPr="0002081B">
        <w:t xml:space="preserve"> </w:t>
      </w:r>
      <w:r w:rsidRPr="0002081B">
        <w:tab/>
      </w:r>
      <w:r w:rsidR="00DA72E7">
        <w:t>Lawyers</w:t>
      </w:r>
      <w:r w:rsidR="00DA72E7" w:rsidRPr="00DA72E7">
        <w:t xml:space="preserve"> can interact with APP t</w:t>
      </w:r>
      <w:r w:rsidR="00C66723">
        <w:t>h</w:t>
      </w:r>
      <w:r w:rsidR="00DA72E7" w:rsidRPr="00DA72E7">
        <w:t xml:space="preserve">rough </w:t>
      </w:r>
      <w:r w:rsidR="00C66723">
        <w:t>the</w:t>
      </w:r>
      <w:r w:rsidR="00DA72E7" w:rsidRPr="00DA72E7">
        <w:t xml:space="preserve"> PDP platform, and police forces can upload crime reports in APP t</w:t>
      </w:r>
      <w:r w:rsidR="00DA72E7">
        <w:t>h</w:t>
      </w:r>
      <w:r w:rsidR="00DA72E7" w:rsidRPr="00DA72E7">
        <w:t>rough PNR</w:t>
      </w:r>
      <w:r w:rsidR="00DA72E7">
        <w:t>.</w:t>
      </w:r>
      <w:r w:rsidR="00DA72E7" w:rsidRPr="00DA72E7">
        <w:t xml:space="preserve"> </w:t>
      </w:r>
      <w:r w:rsidR="00DA72E7" w:rsidRPr="0002081B">
        <w:t>Italian Government (2026</w:t>
      </w:r>
      <w:r w:rsidR="00DA72E7">
        <w:t>a</w:t>
      </w:r>
      <w:r w:rsidR="00DA72E7" w:rsidRPr="0002081B">
        <w:t xml:space="preserve">), </w:t>
      </w:r>
      <w:r w:rsidR="00DA72E7">
        <w:t xml:space="preserve">additional </w:t>
      </w:r>
      <w:r w:rsidR="00DA72E7" w:rsidRPr="0002081B">
        <w:t>written input</w:t>
      </w:r>
      <w:r w:rsidR="00DA72E7">
        <w:t>.</w:t>
      </w:r>
      <w:r w:rsidR="00DA72E7" w:rsidDel="00E4136F">
        <w:t xml:space="preserve"> </w:t>
      </w:r>
    </w:p>
  </w:footnote>
  <w:footnote w:id="31">
    <w:p w14:paraId="2F4C0E87" w14:textId="77777777" w:rsidR="00490F94" w:rsidRPr="0002081B" w:rsidRDefault="00490F94" w:rsidP="002B3B0A">
      <w:pPr>
        <w:pStyle w:val="FootnoteText"/>
        <w:rPr>
          <w:lang w:eastAsia="fr-FR"/>
        </w:rPr>
      </w:pPr>
      <w:r w:rsidRPr="0002081B">
        <w:rPr>
          <w:rStyle w:val="FootnoteReference"/>
        </w:rPr>
        <w:footnoteRef/>
      </w:r>
      <w:r w:rsidRPr="0002081B">
        <w:t xml:space="preserve"> </w:t>
      </w:r>
      <w:r w:rsidRPr="0002081B">
        <w:tab/>
        <w:t>Italian Government (2026), written input, p. 16.</w:t>
      </w:r>
      <w:r w:rsidRPr="0002081B">
        <w:tab/>
      </w:r>
    </w:p>
  </w:footnote>
  <w:footnote w:id="32">
    <w:p w14:paraId="13D63034" w14:textId="6271BEDD" w:rsidR="00490F94" w:rsidRPr="0002081B" w:rsidRDefault="00490F94" w:rsidP="006F4DD2">
      <w:pPr>
        <w:pStyle w:val="FootnoteText"/>
        <w:rPr>
          <w:lang w:eastAsia="fr-FR"/>
        </w:rPr>
      </w:pPr>
      <w:r w:rsidRPr="0002081B">
        <w:rPr>
          <w:rStyle w:val="FootnoteReference"/>
        </w:rPr>
        <w:footnoteRef/>
      </w:r>
      <w:r w:rsidRPr="0002081B">
        <w:t xml:space="preserve"> </w:t>
      </w:r>
      <w:r w:rsidRPr="0002081B">
        <w:tab/>
      </w:r>
      <w:hyperlink r:id="rId3" w:history="1">
        <w:r w:rsidRPr="009F6D2B">
          <w:rPr>
            <w:rStyle w:val="Hyperlink"/>
          </w:rPr>
          <w:t>Law No. 132 of 23 September 2025</w:t>
        </w:r>
      </w:hyperlink>
      <w:r w:rsidRPr="0002081B">
        <w:t xml:space="preserve">, Article 15. The law states that it is to be interpreted and applied in conformity with the </w:t>
      </w:r>
      <w:hyperlink r:id="rId4" w:tgtFrame="_blank" w:history="1">
        <w:r w:rsidRPr="0002081B">
          <w:rPr>
            <w:rStyle w:val="Hyperlink"/>
          </w:rPr>
          <w:t>EU Regulation 2024/1689</w:t>
        </w:r>
      </w:hyperlink>
      <w:r w:rsidRPr="0002081B">
        <w:t>, cf. Art.1(2). National Bar Association, written input via CCBE, replies to question 19.</w:t>
      </w:r>
    </w:p>
  </w:footnote>
  <w:footnote w:id="33">
    <w:p w14:paraId="67397C78" w14:textId="095C6E72" w:rsidR="002B7FF5" w:rsidRPr="0002081B" w:rsidRDefault="002B7FF5" w:rsidP="002B7FF5">
      <w:pPr>
        <w:pStyle w:val="FootnoteText"/>
        <w:rPr>
          <w:lang w:eastAsia="fr-FR"/>
        </w:rPr>
      </w:pPr>
      <w:r w:rsidRPr="0002081B">
        <w:rPr>
          <w:rStyle w:val="FootnoteReference"/>
        </w:rPr>
        <w:footnoteRef/>
      </w:r>
      <w:r w:rsidRPr="0002081B">
        <w:t xml:space="preserve"> </w:t>
      </w:r>
      <w:r w:rsidRPr="0002081B">
        <w:tab/>
      </w:r>
      <w:r>
        <w:t>Italian Government (2026a), additional written input</w:t>
      </w:r>
      <w:r w:rsidRPr="0002081B">
        <w:t>.</w:t>
      </w:r>
    </w:p>
  </w:footnote>
  <w:footnote w:id="34">
    <w:p w14:paraId="1B040898" w14:textId="00444E63" w:rsidR="00490F94" w:rsidRPr="007C4638" w:rsidRDefault="00490F94" w:rsidP="006F4DD2">
      <w:pPr>
        <w:pStyle w:val="FootnoteText"/>
        <w:rPr>
          <w:color w:val="FF0000"/>
        </w:rPr>
      </w:pPr>
      <w:r w:rsidRPr="0002081B">
        <w:rPr>
          <w:rStyle w:val="FootnoteReference"/>
        </w:rPr>
        <w:footnoteRef/>
      </w:r>
      <w:r w:rsidRPr="0002081B">
        <w:t xml:space="preserve"> </w:t>
      </w:r>
      <w:r w:rsidRPr="0002081B">
        <w:tab/>
        <w:t>Law No. 199 of 30 December 2025, Art. 1, comma 725.</w:t>
      </w:r>
      <w:r w:rsidR="00670C6C">
        <w:t xml:space="preserve"> The new </w:t>
      </w:r>
      <w:r w:rsidR="00670C6C" w:rsidRPr="00670C6C">
        <w:t xml:space="preserve">rules extend the existing compensation mechanism between professionals and the Treasury for payments up to </w:t>
      </w:r>
      <w:r w:rsidR="004852CF">
        <w:t xml:space="preserve">EUR </w:t>
      </w:r>
      <w:r w:rsidR="00670C6C" w:rsidRPr="00670C6C">
        <w:t>5</w:t>
      </w:r>
      <w:r w:rsidR="004852CF">
        <w:t> </w:t>
      </w:r>
      <w:r w:rsidR="00670C6C" w:rsidRPr="00670C6C">
        <w:t>000</w:t>
      </w:r>
      <w:r w:rsidR="004852CF">
        <w:t>.</w:t>
      </w:r>
      <w:r w:rsidR="00AF6014">
        <w:t xml:space="preserve"> </w:t>
      </w:r>
      <w:r w:rsidR="00AF6014" w:rsidRPr="00AF6014">
        <w:t>Italian Government (2026a)</w:t>
      </w:r>
      <w:r w:rsidR="001A63E9">
        <w:t>, additional written input</w:t>
      </w:r>
      <w:r w:rsidR="00AF6014">
        <w:t>.</w:t>
      </w:r>
      <w:r w:rsidR="00AF6014" w:rsidRPr="0002081B">
        <w:t xml:space="preserve"> </w:t>
      </w:r>
      <w:r w:rsidRPr="0002081B">
        <w:rPr>
          <w:lang w:eastAsia="fr-FR"/>
        </w:rPr>
        <w:t xml:space="preserve">The legal aid scheme provided protection to over 200 000 persons in 2024, including minors and women victims of abuse with no income. </w:t>
      </w:r>
      <w:r w:rsidRPr="0002081B">
        <w:t>National Bar Association</w:t>
      </w:r>
      <w:r>
        <w:t xml:space="preserve"> </w:t>
      </w:r>
      <w:r w:rsidRPr="0002081B">
        <w:t>(</w:t>
      </w:r>
      <w:r w:rsidRPr="0002081B">
        <w:rPr>
          <w:i/>
          <w:iCs/>
        </w:rPr>
        <w:t>Consiglio Nazionale Forense</w:t>
      </w:r>
      <w:r w:rsidRPr="0002081B">
        <w:t>), written input via CCBE, repl</w:t>
      </w:r>
      <w:r>
        <w:t>y</w:t>
      </w:r>
      <w:r w:rsidRPr="0002081B">
        <w:t xml:space="preserve"> to question 16. </w:t>
      </w:r>
      <w:r w:rsidRPr="007C4638">
        <w:t>National Bar Association (2025)</w:t>
      </w:r>
      <w:r w:rsidRPr="0002081B">
        <w:t>.</w:t>
      </w:r>
      <w:r w:rsidRPr="0002081B">
        <w:rPr>
          <w:lang w:eastAsia="fr-FR"/>
        </w:rPr>
        <w:t xml:space="preserve"> The value of legal aid doubled in the past 10 years, to reach EUR 450 million. </w:t>
      </w:r>
    </w:p>
  </w:footnote>
  <w:footnote w:id="35">
    <w:p w14:paraId="5C3D81C4" w14:textId="287CDDE9" w:rsidR="001A125C" w:rsidRPr="0002081B" w:rsidRDefault="001A125C" w:rsidP="006F4DD2">
      <w:pPr>
        <w:pStyle w:val="FootnoteText"/>
      </w:pPr>
      <w:r w:rsidRPr="0002081B">
        <w:rPr>
          <w:rStyle w:val="FootnoteReference"/>
        </w:rPr>
        <w:footnoteRef/>
      </w:r>
      <w:r w:rsidRPr="0002081B">
        <w:t xml:space="preserve"> </w:t>
      </w:r>
      <w:r w:rsidRPr="0002081B">
        <w:tab/>
      </w:r>
      <w:r>
        <w:t xml:space="preserve">In the context of the European Semester, the Commission has proposed that the Council recommend Italy </w:t>
      </w:r>
      <w:r w:rsidR="004B4D27">
        <w:t xml:space="preserve">to </w:t>
      </w:r>
      <w:r>
        <w:t xml:space="preserve">“further reduce the backlog and disposition time of the justice system”. European Commission (2026) </w:t>
      </w:r>
      <w:r w:rsidR="004B4D27" w:rsidRPr="004B4D27">
        <w:t>212 final</w:t>
      </w:r>
      <w:r>
        <w:t xml:space="preserve">, CSR </w:t>
      </w:r>
      <w:r w:rsidR="004B4D27">
        <w:t>4</w:t>
      </w:r>
      <w:r>
        <w:t>.</w:t>
      </w:r>
      <w:r w:rsidRPr="0002081B">
        <w:t xml:space="preserve"> </w:t>
      </w:r>
    </w:p>
  </w:footnote>
  <w:footnote w:id="36">
    <w:p w14:paraId="04CA708F"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‘Cartabia’ reforms, Legislative Decrees No. 149 of 2022 and No. 150 of 2022, as well as No. 44 of 2024. </w:t>
      </w:r>
      <w:r w:rsidRPr="0002081B">
        <w:rPr>
          <w:lang w:eastAsia="fr-FR"/>
        </w:rPr>
        <w:t>Country visit Italy, Ministry of Justice, High Council of the Judiciary</w:t>
      </w:r>
      <w:r w:rsidRPr="0002081B">
        <w:t xml:space="preserve">. </w:t>
      </w:r>
    </w:p>
  </w:footnote>
  <w:footnote w:id="37">
    <w:p w14:paraId="654CE069" w14:textId="77777777" w:rsidR="00490F94" w:rsidRPr="0002081B" w:rsidRDefault="00490F94" w:rsidP="006F4DD2">
      <w:pPr>
        <w:pStyle w:val="FootnoteText"/>
      </w:pPr>
      <w:r w:rsidRPr="0002081B">
        <w:rPr>
          <w:rStyle w:val="FootnoteReference"/>
        </w:rPr>
        <w:footnoteRef/>
      </w:r>
      <w:r w:rsidRPr="0002081B">
        <w:t xml:space="preserve"> </w:t>
      </w:r>
      <w:r w:rsidRPr="0002081B">
        <w:tab/>
        <w:t>Decree-Law No. 117 of 8 August 2025. Italian Government (2026), written input, p. 19-20. National Bar Association (</w:t>
      </w:r>
      <w:r w:rsidRPr="0002081B">
        <w:rPr>
          <w:i/>
          <w:iCs/>
        </w:rPr>
        <w:t>Consiglio Nazionale Forense</w:t>
      </w:r>
      <w:r w:rsidRPr="0002081B">
        <w:t>), written input via CCBE, replies to question 22.</w:t>
      </w:r>
    </w:p>
  </w:footnote>
  <w:footnote w:id="38">
    <w:p w14:paraId="5149FA67" w14:textId="0467C310" w:rsidR="00490F94" w:rsidRPr="0002081B" w:rsidRDefault="00490F94" w:rsidP="006F4DD2">
      <w:pPr>
        <w:pStyle w:val="FootnoteText"/>
      </w:pPr>
      <w:r w:rsidRPr="0002081B">
        <w:rPr>
          <w:rStyle w:val="FootnoteReference"/>
        </w:rPr>
        <w:footnoteRef/>
      </w:r>
      <w:r w:rsidRPr="0002081B">
        <w:t xml:space="preserve"> </w:t>
      </w:r>
      <w:r w:rsidRPr="0002081B">
        <w:tab/>
      </w:r>
      <w:r w:rsidR="00F25225" w:rsidRPr="00F25225">
        <w:t xml:space="preserve">In 2025, the disposition time </w:t>
      </w:r>
      <w:r w:rsidR="00337CA2" w:rsidRPr="2263BBF1">
        <w:rPr>
          <w:lang w:eastAsia="fr-FR"/>
        </w:rPr>
        <w:t xml:space="preserve">of civil and commercial cases </w:t>
      </w:r>
      <w:r w:rsidR="00F25225" w:rsidRPr="00F25225">
        <w:t>decreased by 53 days in first instance (435 days), by 84 days in appeal (to 492 days) and by 76 days in cassation (to 863 days). ISTAT (2026)</w:t>
      </w:r>
      <w:r w:rsidR="00873F16">
        <w:t xml:space="preserve">. </w:t>
      </w:r>
      <w:r w:rsidRPr="006B7E91">
        <w:t xml:space="preserve">The disposition time in litigious civil and commercial cases in first-instance courts had increased to 584 days in 2024 from 511 in 2023. </w:t>
      </w:r>
      <w:r w:rsidRPr="0002081B">
        <w:t>Figures 6</w:t>
      </w:r>
      <w:r>
        <w:t xml:space="preserve">, </w:t>
      </w:r>
      <w:r w:rsidRPr="000E6EB3">
        <w:t>2026</w:t>
      </w:r>
      <w:r w:rsidRPr="006B7E91">
        <w:t xml:space="preserve"> EU</w:t>
      </w:r>
      <w:r w:rsidRPr="0002081B">
        <w:t xml:space="preserve"> Justice Scoreboard. </w:t>
      </w:r>
    </w:p>
  </w:footnote>
  <w:footnote w:id="39">
    <w:p w14:paraId="20C02349" w14:textId="578A9B56" w:rsidR="00490F94" w:rsidRPr="0002081B" w:rsidRDefault="00490F94" w:rsidP="006F4DD2">
      <w:pPr>
        <w:pStyle w:val="FootnoteText"/>
      </w:pPr>
      <w:r w:rsidRPr="0002081B">
        <w:rPr>
          <w:rStyle w:val="FootnoteReference"/>
        </w:rPr>
        <w:footnoteRef/>
      </w:r>
      <w:r w:rsidRPr="0002081B">
        <w:t xml:space="preserve"> </w:t>
      </w:r>
      <w:r w:rsidRPr="0002081B">
        <w:tab/>
        <w:t xml:space="preserve">In 2025, the disposition time in criminal cases </w:t>
      </w:r>
      <w:r w:rsidR="00337CA2" w:rsidRPr="00F25225">
        <w:t xml:space="preserve">decreased by </w:t>
      </w:r>
      <w:r w:rsidR="00337CA2">
        <w:t>4</w:t>
      </w:r>
      <w:r w:rsidR="00337CA2" w:rsidRPr="00F25225">
        <w:t xml:space="preserve"> days in first instance (</w:t>
      </w:r>
      <w:r w:rsidR="00BE4662">
        <w:t>312</w:t>
      </w:r>
      <w:r w:rsidR="00337CA2" w:rsidRPr="00F25225">
        <w:t xml:space="preserve"> days)</w:t>
      </w:r>
      <w:r w:rsidR="003B27C6">
        <w:t xml:space="preserve"> and</w:t>
      </w:r>
      <w:r w:rsidR="00337CA2" w:rsidRPr="00F25225">
        <w:t xml:space="preserve"> by 8</w:t>
      </w:r>
      <w:r w:rsidR="00BE4662">
        <w:t>3</w:t>
      </w:r>
      <w:r w:rsidR="00337CA2" w:rsidRPr="00F25225">
        <w:t xml:space="preserve"> days in appeal (to </w:t>
      </w:r>
      <w:r w:rsidR="008E699D">
        <w:t>524</w:t>
      </w:r>
      <w:r w:rsidR="00337CA2" w:rsidRPr="00F25225">
        <w:t xml:space="preserve"> days) </w:t>
      </w:r>
      <w:r w:rsidR="003B27C6">
        <w:t>while it increased</w:t>
      </w:r>
      <w:r w:rsidR="00337CA2" w:rsidRPr="00F25225">
        <w:t xml:space="preserve"> by </w:t>
      </w:r>
      <w:r w:rsidR="00F27E13">
        <w:t>41</w:t>
      </w:r>
      <w:r w:rsidR="00337CA2" w:rsidRPr="00F25225">
        <w:t xml:space="preserve"> days in cassation (to </w:t>
      </w:r>
      <w:r w:rsidR="00A54937">
        <w:t>122</w:t>
      </w:r>
      <w:r w:rsidR="00337CA2" w:rsidRPr="00F25225">
        <w:t xml:space="preserve"> days). ISTAT (2026)</w:t>
      </w:r>
      <w:r w:rsidR="00873F16">
        <w:t>.</w:t>
      </w:r>
      <w:r w:rsidRPr="0002081B">
        <w:t xml:space="preserve"> </w:t>
      </w:r>
    </w:p>
  </w:footnote>
  <w:footnote w:id="40">
    <w:p w14:paraId="0616657D" w14:textId="7B7629C0" w:rsidR="00490F94" w:rsidRPr="0002081B" w:rsidRDefault="00490F94" w:rsidP="006F4DD2">
      <w:pPr>
        <w:pStyle w:val="FootnoteText"/>
        <w:rPr>
          <w:lang w:eastAsia="fr-FR"/>
        </w:rPr>
      </w:pPr>
      <w:r w:rsidRPr="0002081B">
        <w:rPr>
          <w:rStyle w:val="FootnoteReference"/>
        </w:rPr>
        <w:footnoteRef/>
      </w:r>
      <w:r w:rsidRPr="0002081B">
        <w:t xml:space="preserve"> </w:t>
      </w:r>
      <w:r w:rsidRPr="0002081B">
        <w:tab/>
      </w:r>
      <w:r w:rsidR="00A671E8">
        <w:t>ISTAT (2026)</w:t>
      </w:r>
      <w:r w:rsidR="001D0BA8">
        <w:t xml:space="preserve">. The RRP target is of </w:t>
      </w:r>
      <w:r w:rsidR="001D0BA8" w:rsidRPr="001D0BA8">
        <w:t>1</w:t>
      </w:r>
      <w:r w:rsidR="001D0BA8">
        <w:t> </w:t>
      </w:r>
      <w:r w:rsidR="001D0BA8" w:rsidRPr="001D0BA8">
        <w:t>044 days compared to the 1</w:t>
      </w:r>
      <w:r w:rsidR="001D0BA8">
        <w:t> </w:t>
      </w:r>
      <w:r w:rsidR="001D0BA8" w:rsidRPr="001D0BA8">
        <w:t>392 days to solve criminal cases in 2019</w:t>
      </w:r>
      <w:r w:rsidR="001D0BA8">
        <w:t>.</w:t>
      </w:r>
      <w:r w:rsidR="006019DE">
        <w:t xml:space="preserve"> </w:t>
      </w:r>
    </w:p>
  </w:footnote>
  <w:footnote w:id="41">
    <w:p w14:paraId="24402834" w14:textId="3E573C8C" w:rsidR="00490F94" w:rsidRPr="0002081B" w:rsidRDefault="00490F94" w:rsidP="006F4DD2">
      <w:pPr>
        <w:pStyle w:val="FootnoteText"/>
        <w:rPr>
          <w:lang w:eastAsia="fr-FR"/>
        </w:rPr>
      </w:pPr>
      <w:r w:rsidRPr="0002081B">
        <w:rPr>
          <w:rStyle w:val="FootnoteReference"/>
        </w:rPr>
        <w:footnoteRef/>
      </w:r>
      <w:r w:rsidRPr="0002081B">
        <w:t xml:space="preserve"> </w:t>
      </w:r>
      <w:r w:rsidRPr="0002081B">
        <w:tab/>
        <w:t>T</w:t>
      </w:r>
      <w:r w:rsidRPr="00BD5769">
        <w:rPr>
          <w:lang w:eastAsia="fr-FR"/>
        </w:rPr>
        <w:t>he time needed to resolve administrative cases in all instances fell by 46 days (</w:t>
      </w:r>
      <w:r w:rsidRPr="0002081B">
        <w:rPr>
          <w:lang w:eastAsia="fr-FR"/>
        </w:rPr>
        <w:t>803</w:t>
      </w:r>
      <w:r>
        <w:rPr>
          <w:lang w:eastAsia="fr-FR"/>
        </w:rPr>
        <w:t xml:space="preserve"> days</w:t>
      </w:r>
      <w:r w:rsidR="0026086E">
        <w:rPr>
          <w:lang w:eastAsia="fr-FR"/>
        </w:rPr>
        <w:t xml:space="preserve"> in 2025</w:t>
      </w:r>
      <w:r w:rsidRPr="0002081B">
        <w:rPr>
          <w:lang w:eastAsia="fr-FR"/>
        </w:rPr>
        <w:t xml:space="preserve"> </w:t>
      </w:r>
      <w:r w:rsidRPr="00BD5769">
        <w:rPr>
          <w:lang w:eastAsia="fr-FR"/>
        </w:rPr>
        <w:t xml:space="preserve">against 849 in </w:t>
      </w:r>
      <w:r w:rsidRPr="006B7E91">
        <w:rPr>
          <w:lang w:eastAsia="fr-FR"/>
        </w:rPr>
        <w:t xml:space="preserve">2024; 976 in 2023). </w:t>
      </w:r>
      <w:r>
        <w:rPr>
          <w:lang w:eastAsia="fr-FR"/>
        </w:rPr>
        <w:t xml:space="preserve">Country visit Italy, </w:t>
      </w:r>
      <w:r w:rsidRPr="006B7E91">
        <w:rPr>
          <w:lang w:eastAsia="fr-FR"/>
        </w:rPr>
        <w:t>Council of State. In first instance, administrative cases took 483 days</w:t>
      </w:r>
      <w:r w:rsidR="003A12D5">
        <w:rPr>
          <w:lang w:eastAsia="fr-FR"/>
        </w:rPr>
        <w:t xml:space="preserve"> in 2024</w:t>
      </w:r>
      <w:r w:rsidRPr="006B7E91">
        <w:rPr>
          <w:lang w:eastAsia="fr-FR"/>
        </w:rPr>
        <w:t xml:space="preserve"> (595 in 2023), still </w:t>
      </w:r>
      <w:r w:rsidRPr="007C4638">
        <w:rPr>
          <w:lang w:eastAsia="fr-FR"/>
        </w:rPr>
        <w:t>among</w:t>
      </w:r>
      <w:r w:rsidRPr="006B7E91">
        <w:rPr>
          <w:lang w:eastAsia="fr-FR"/>
        </w:rPr>
        <w:t xml:space="preserve"> the longest in the EU. </w:t>
      </w:r>
      <w:r w:rsidRPr="0002081B">
        <w:t xml:space="preserve">Figure </w:t>
      </w:r>
      <w:r>
        <w:t xml:space="preserve">7, </w:t>
      </w:r>
      <w:r w:rsidRPr="000E6EB3">
        <w:t>2026</w:t>
      </w:r>
      <w:r w:rsidRPr="006B7E91">
        <w:t xml:space="preserve"> EU Justice</w:t>
      </w:r>
      <w:r w:rsidRPr="0002081B">
        <w:t xml:space="preserve"> Scoreboard. </w:t>
      </w:r>
    </w:p>
  </w:footnote>
  <w:footnote w:id="42">
    <w:p w14:paraId="4C532AC8" w14:textId="7F2CA016" w:rsidR="00490F94" w:rsidRPr="0002081B" w:rsidRDefault="00490F94" w:rsidP="006F4DD2">
      <w:pPr>
        <w:pStyle w:val="FootnoteText"/>
      </w:pPr>
      <w:r w:rsidRPr="0002081B">
        <w:rPr>
          <w:rStyle w:val="FootnoteReference"/>
        </w:rPr>
        <w:footnoteRef/>
      </w:r>
      <w:r w:rsidRPr="0002081B">
        <w:t xml:space="preserve"> </w:t>
      </w:r>
      <w:r w:rsidRPr="0002081B">
        <w:tab/>
      </w:r>
      <w:r w:rsidRPr="00BD5769">
        <w:rPr>
          <w:lang w:eastAsia="fr-FR"/>
        </w:rPr>
        <w:t xml:space="preserve">The time needed to resolve tax cases fell by </w:t>
      </w:r>
      <w:r w:rsidRPr="0002081B">
        <w:rPr>
          <w:lang w:eastAsia="fr-FR"/>
        </w:rPr>
        <w:t>6</w:t>
      </w:r>
      <w:r w:rsidRPr="00BD5769">
        <w:rPr>
          <w:lang w:eastAsia="fr-FR"/>
        </w:rPr>
        <w:t>6 days</w:t>
      </w:r>
      <w:r w:rsidRPr="0002081B">
        <w:rPr>
          <w:lang w:eastAsia="fr-FR"/>
        </w:rPr>
        <w:t xml:space="preserve"> in first instance (373 days in 2024 against 439 in 2023) and by 20 days in appeal (947 days against 967 in 2023). </w:t>
      </w:r>
      <w:r>
        <w:rPr>
          <w:lang w:eastAsia="fr-FR"/>
        </w:rPr>
        <w:t xml:space="preserve">Country visit Italy, </w:t>
      </w:r>
      <w:r w:rsidRPr="0002081B">
        <w:rPr>
          <w:color w:val="000000" w:themeColor="text1"/>
        </w:rPr>
        <w:t xml:space="preserve">Board of the Tax Courts. </w:t>
      </w:r>
    </w:p>
  </w:footnote>
  <w:footnote w:id="43">
    <w:p w14:paraId="2D9D16F8" w14:textId="77777777" w:rsidR="00490F94" w:rsidRPr="0002081B" w:rsidRDefault="00490F94" w:rsidP="006F4DD2">
      <w:pPr>
        <w:pStyle w:val="FootnoteText"/>
      </w:pPr>
      <w:r w:rsidRPr="0002081B">
        <w:rPr>
          <w:rStyle w:val="FootnoteReference"/>
        </w:rPr>
        <w:footnoteRef/>
      </w:r>
      <w:r w:rsidRPr="0002081B">
        <w:t xml:space="preserve"> </w:t>
      </w:r>
      <w:r w:rsidRPr="0002081B">
        <w:tab/>
        <w:t>Council of Europe, Table of cases under enhanced supervision of the Committee of Ministers.</w:t>
      </w:r>
    </w:p>
  </w:footnote>
  <w:footnote w:id="44">
    <w:p w14:paraId="7E86F98A" w14:textId="77777777" w:rsidR="00490F94" w:rsidRPr="0002081B" w:rsidRDefault="00490F94" w:rsidP="006F4DD2">
      <w:pPr>
        <w:pStyle w:val="FootnoteText"/>
      </w:pPr>
      <w:r w:rsidRPr="0002081B">
        <w:rPr>
          <w:rStyle w:val="FootnoteReference"/>
        </w:rPr>
        <w:footnoteRef/>
      </w:r>
      <w:r w:rsidRPr="0002081B">
        <w:t xml:space="preserve"> </w:t>
      </w:r>
      <w:r w:rsidRPr="0002081B">
        <w:tab/>
      </w:r>
      <w:r w:rsidRPr="00BD5769">
        <w:rPr>
          <w:color w:val="000000" w:themeColor="text1"/>
          <w:lang w:eastAsia="fr-FR"/>
        </w:rPr>
        <w:t>In 202</w:t>
      </w:r>
      <w:r w:rsidRPr="0002081B">
        <w:rPr>
          <w:color w:val="000000" w:themeColor="text1"/>
          <w:lang w:eastAsia="fr-FR"/>
        </w:rPr>
        <w:t>5</w:t>
      </w:r>
      <w:r w:rsidRPr="00BD5769">
        <w:rPr>
          <w:color w:val="000000" w:themeColor="text1"/>
          <w:lang w:eastAsia="fr-FR"/>
        </w:rPr>
        <w:t>, Italy pa</w:t>
      </w:r>
      <w:r w:rsidRPr="0002081B">
        <w:rPr>
          <w:color w:val="000000" w:themeColor="text1"/>
          <w:lang w:eastAsia="fr-FR"/>
        </w:rPr>
        <w:t>id</w:t>
      </w:r>
      <w:r w:rsidRPr="00BD5769">
        <w:rPr>
          <w:color w:val="000000" w:themeColor="text1"/>
          <w:lang w:eastAsia="fr-FR"/>
        </w:rPr>
        <w:t xml:space="preserve"> EUR </w:t>
      </w:r>
      <w:r w:rsidRPr="0002081B">
        <w:rPr>
          <w:color w:val="000000" w:themeColor="text1"/>
          <w:lang w:eastAsia="fr-FR"/>
        </w:rPr>
        <w:t xml:space="preserve">111 709 231 </w:t>
      </w:r>
      <w:r w:rsidRPr="00BD5769">
        <w:rPr>
          <w:color w:val="000000" w:themeColor="text1"/>
          <w:lang w:eastAsia="fr-FR"/>
        </w:rPr>
        <w:t>in compensation</w:t>
      </w:r>
      <w:r w:rsidRPr="0002081B">
        <w:rPr>
          <w:color w:val="000000" w:themeColor="text1"/>
          <w:lang w:eastAsia="fr-FR"/>
        </w:rPr>
        <w:t xml:space="preserve"> to</w:t>
      </w:r>
      <w:r w:rsidRPr="00BD5769">
        <w:rPr>
          <w:color w:val="000000" w:themeColor="text1"/>
          <w:lang w:eastAsia="fr-FR"/>
        </w:rPr>
        <w:t xml:space="preserve"> </w:t>
      </w:r>
      <w:r w:rsidRPr="0002081B">
        <w:rPr>
          <w:color w:val="000000" w:themeColor="text1"/>
          <w:lang w:eastAsia="fr-FR"/>
        </w:rPr>
        <w:t>some 100 000 persons</w:t>
      </w:r>
      <w:r w:rsidRPr="00BD5769">
        <w:rPr>
          <w:color w:val="000000" w:themeColor="text1"/>
          <w:lang w:eastAsia="fr-FR"/>
        </w:rPr>
        <w:t xml:space="preserve"> for the excessive duration of judicial proceedings</w:t>
      </w:r>
      <w:r w:rsidRPr="0002081B">
        <w:rPr>
          <w:color w:val="000000" w:themeColor="text1"/>
          <w:lang w:eastAsia="fr-FR"/>
        </w:rPr>
        <w:t xml:space="preserve">. Via the </w:t>
      </w:r>
      <w:r w:rsidRPr="0002081B">
        <w:rPr>
          <w:i/>
          <w:iCs/>
          <w:color w:val="000000" w:themeColor="text1"/>
          <w:lang w:eastAsia="fr-FR"/>
        </w:rPr>
        <w:t>PagaPinto</w:t>
      </w:r>
      <w:r w:rsidRPr="0002081B">
        <w:rPr>
          <w:color w:val="000000" w:themeColor="text1"/>
          <w:lang w:eastAsia="fr-FR"/>
        </w:rPr>
        <w:t xml:space="preserve"> digital platform, Italy aims to compensate some 80 000 persons</w:t>
      </w:r>
      <w:r w:rsidRPr="00BD5769">
        <w:rPr>
          <w:color w:val="000000" w:themeColor="text1"/>
          <w:lang w:eastAsia="fr-FR"/>
        </w:rPr>
        <w:t xml:space="preserve"> </w:t>
      </w:r>
      <w:r w:rsidRPr="0002081B">
        <w:rPr>
          <w:color w:val="000000" w:themeColor="text1"/>
          <w:lang w:eastAsia="fr-FR"/>
        </w:rPr>
        <w:t xml:space="preserve">within two years for </w:t>
      </w:r>
      <w:r>
        <w:rPr>
          <w:color w:val="000000" w:themeColor="text1"/>
          <w:lang w:eastAsia="fr-FR"/>
        </w:rPr>
        <w:t>some</w:t>
      </w:r>
      <w:r w:rsidRPr="0002081B">
        <w:rPr>
          <w:color w:val="000000" w:themeColor="text1"/>
          <w:lang w:eastAsia="fr-FR"/>
        </w:rPr>
        <w:t xml:space="preserve"> EUR 400 million</w:t>
      </w:r>
      <w:r>
        <w:rPr>
          <w:color w:val="000000" w:themeColor="text1"/>
          <w:lang w:eastAsia="fr-FR"/>
        </w:rPr>
        <w:t xml:space="preserve"> in total</w:t>
      </w:r>
      <w:r w:rsidRPr="0002081B">
        <w:rPr>
          <w:color w:val="000000" w:themeColor="text1"/>
          <w:lang w:eastAsia="fr-FR"/>
        </w:rPr>
        <w:t xml:space="preserve">. </w:t>
      </w:r>
      <w:r w:rsidRPr="0002081B">
        <w:t>Ministry of Justice (2026), p. 250.</w:t>
      </w:r>
    </w:p>
  </w:footnote>
  <w:footnote w:id="45">
    <w:p w14:paraId="1B200DFC" w14:textId="77777777" w:rsidR="00490F94" w:rsidRPr="00C111D3" w:rsidRDefault="00490F94" w:rsidP="006F4DD2">
      <w:pPr>
        <w:pStyle w:val="FootnoteText"/>
        <w:rPr>
          <w:lang w:eastAsia="fr-FR"/>
        </w:rPr>
      </w:pPr>
      <w:r w:rsidRPr="0002081B">
        <w:rPr>
          <w:rStyle w:val="FootnoteReference"/>
        </w:rPr>
        <w:footnoteRef/>
      </w:r>
      <w:r w:rsidRPr="00C111D3">
        <w:t xml:space="preserve"> </w:t>
      </w:r>
      <w:r w:rsidRPr="00C111D3">
        <w:tab/>
        <w:t xml:space="preserve">Figure 10, 2026 EU Justice Scoreboard. </w:t>
      </w:r>
      <w:r w:rsidRPr="00C111D3">
        <w:rPr>
          <w:lang w:eastAsia="fr-FR"/>
        </w:rPr>
        <w:t xml:space="preserve">CEPEJ (2026), </w:t>
      </w:r>
      <w:r w:rsidRPr="00D71250">
        <w:rPr>
          <w:lang w:eastAsia="fr-FR"/>
        </w:rPr>
        <w:t>Table 3.10.5 (EC).</w:t>
      </w:r>
    </w:p>
  </w:footnote>
  <w:footnote w:id="46">
    <w:p w14:paraId="37C530EC" w14:textId="77777777" w:rsidR="00490F94" w:rsidRPr="0002081B" w:rsidRDefault="00490F94" w:rsidP="006F4DD2">
      <w:pPr>
        <w:pStyle w:val="FootnoteText"/>
        <w:rPr>
          <w:lang w:eastAsia="fr-FR"/>
        </w:rPr>
      </w:pPr>
      <w:r w:rsidRPr="0002081B">
        <w:rPr>
          <w:rStyle w:val="FootnoteReference"/>
        </w:rPr>
        <w:footnoteRef/>
      </w:r>
      <w:r w:rsidRPr="0002081B">
        <w:t xml:space="preserve"> </w:t>
      </w:r>
      <w:r w:rsidRPr="0002081B">
        <w:tab/>
      </w:r>
      <w:r w:rsidRPr="2263BBF1">
        <w:rPr>
          <w:lang w:eastAsia="fr-FR"/>
        </w:rPr>
        <w:t>2 912 061</w:t>
      </w:r>
      <w:r>
        <w:rPr>
          <w:lang w:eastAsia="fr-FR"/>
        </w:rPr>
        <w:t xml:space="preserve"> cases</w:t>
      </w:r>
      <w:r w:rsidRPr="2263BBF1">
        <w:rPr>
          <w:lang w:eastAsia="fr-FR"/>
        </w:rPr>
        <w:t xml:space="preserve"> (+0.8%)</w:t>
      </w:r>
      <w:r>
        <w:rPr>
          <w:lang w:eastAsia="fr-FR"/>
        </w:rPr>
        <w:t xml:space="preserve">. </w:t>
      </w:r>
      <w:r w:rsidRPr="0002081B">
        <w:rPr>
          <w:lang w:eastAsia="fr-FR"/>
        </w:rPr>
        <w:t>The increase concerned in particular the Justices of the Peace (+5.4%) and the ordinary courts (+1.8%), while decreases were noted in appeal (-7.5%) and cassation (-5.5%)</w:t>
      </w:r>
      <w:r w:rsidRPr="0002081B">
        <w:t>.</w:t>
      </w:r>
    </w:p>
  </w:footnote>
  <w:footnote w:id="47">
    <w:p w14:paraId="22F2A64D" w14:textId="77777777" w:rsidR="00490F94" w:rsidRPr="0002081B" w:rsidRDefault="00490F94" w:rsidP="006F4DD2">
      <w:pPr>
        <w:pStyle w:val="FootnoteText"/>
        <w:rPr>
          <w:lang w:eastAsia="fr-FR"/>
        </w:rPr>
      </w:pPr>
      <w:r w:rsidRPr="0002081B">
        <w:rPr>
          <w:rStyle w:val="FootnoteReference"/>
        </w:rPr>
        <w:footnoteRef/>
      </w:r>
      <w:r w:rsidRPr="0002081B">
        <w:t xml:space="preserve"> </w:t>
      </w:r>
      <w:r w:rsidRPr="0002081B">
        <w:tab/>
        <w:t xml:space="preserve">Ministry of Justice (2026), p. </w:t>
      </w:r>
      <w:r>
        <w:t>564.</w:t>
      </w:r>
    </w:p>
  </w:footnote>
  <w:footnote w:id="48">
    <w:p w14:paraId="51E2A646" w14:textId="77777777" w:rsidR="00490F94" w:rsidRPr="0002081B" w:rsidRDefault="00490F94" w:rsidP="006F4DD2">
      <w:pPr>
        <w:pStyle w:val="FootnoteText"/>
        <w:rPr>
          <w:lang w:eastAsia="fr-FR"/>
        </w:rPr>
      </w:pPr>
      <w:r w:rsidRPr="0002081B">
        <w:rPr>
          <w:rStyle w:val="FootnoteReference"/>
        </w:rPr>
        <w:footnoteRef/>
      </w:r>
      <w:r w:rsidRPr="0002081B">
        <w:t xml:space="preserve"> </w:t>
      </w:r>
      <w:r w:rsidRPr="0002081B">
        <w:tab/>
        <w:t>Italian Government (2026), written input, p. 18.</w:t>
      </w:r>
    </w:p>
  </w:footnote>
  <w:footnote w:id="49">
    <w:p w14:paraId="7F119E26" w14:textId="77777777" w:rsidR="00490F94" w:rsidRPr="0002081B" w:rsidRDefault="00490F94" w:rsidP="006F4DD2">
      <w:pPr>
        <w:pStyle w:val="FootnoteText"/>
        <w:rPr>
          <w:lang w:eastAsia="fr-FR"/>
        </w:rPr>
      </w:pPr>
      <w:r w:rsidRPr="0002081B">
        <w:rPr>
          <w:rStyle w:val="FootnoteReference"/>
        </w:rPr>
        <w:footnoteRef/>
      </w:r>
      <w:r w:rsidRPr="0002081B">
        <w:t xml:space="preserve"> </w:t>
      </w:r>
      <w:r w:rsidRPr="0002081B">
        <w:tab/>
        <w:t>Milestone M1C1-47 and target T1C1-48 in the RRP monitoring framework.</w:t>
      </w:r>
    </w:p>
  </w:footnote>
  <w:footnote w:id="50">
    <w:p w14:paraId="61ED0606" w14:textId="77777777" w:rsidR="00490F94" w:rsidRPr="0002081B" w:rsidRDefault="00490F94" w:rsidP="006F4DD2">
      <w:pPr>
        <w:pStyle w:val="FootnoteText"/>
        <w:rPr>
          <w:lang w:eastAsia="fr-FR"/>
        </w:rPr>
      </w:pPr>
      <w:r w:rsidRPr="0002081B">
        <w:rPr>
          <w:rStyle w:val="FootnoteReference"/>
        </w:rPr>
        <w:footnoteRef/>
      </w:r>
      <w:r w:rsidRPr="0002081B">
        <w:t xml:space="preserve"> </w:t>
      </w:r>
      <w:r w:rsidRPr="0002081B">
        <w:tab/>
      </w:r>
      <w:r w:rsidRPr="00E165E6">
        <w:rPr>
          <w:lang w:eastAsia="fr-FR"/>
        </w:rPr>
        <w:t>CEPEJ (2026),</w:t>
      </w:r>
      <w:r w:rsidRPr="003A77E1">
        <w:rPr>
          <w:lang w:eastAsia="fr-FR"/>
        </w:rPr>
        <w:t xml:space="preserve"> </w:t>
      </w:r>
      <w:r w:rsidRPr="00D71250">
        <w:rPr>
          <w:lang w:eastAsia="fr-FR"/>
        </w:rPr>
        <w:t>Table 3.13.3.</w:t>
      </w:r>
    </w:p>
  </w:footnote>
  <w:footnote w:id="51">
    <w:p w14:paraId="5D0CF583"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It decreased by </w:t>
      </w:r>
      <w:r w:rsidRPr="0002081B">
        <w:rPr>
          <w:lang w:eastAsia="fr-FR"/>
        </w:rPr>
        <w:t xml:space="preserve">3.4% at the judicial decision stage, while it increased by 1.9% at the prosecution stage. </w:t>
      </w:r>
      <w:r w:rsidRPr="0002081B">
        <w:t xml:space="preserve">Data by 30 September 2025. Ministry of Justice (2026), p. 572. </w:t>
      </w:r>
    </w:p>
  </w:footnote>
  <w:footnote w:id="52">
    <w:p w14:paraId="55337A8E" w14:textId="77777777" w:rsidR="00490F94" w:rsidRPr="00C111D3" w:rsidRDefault="00490F94" w:rsidP="006F4DD2">
      <w:pPr>
        <w:pStyle w:val="FootnoteText"/>
      </w:pPr>
      <w:r w:rsidRPr="0002081B">
        <w:rPr>
          <w:rStyle w:val="FootnoteReference"/>
        </w:rPr>
        <w:footnoteRef/>
      </w:r>
      <w:r w:rsidRPr="00916739">
        <w:rPr>
          <w:lang w:val="en-IE"/>
        </w:rPr>
        <w:t xml:space="preserve"> </w:t>
      </w:r>
      <w:r w:rsidRPr="00916739">
        <w:rPr>
          <w:lang w:val="en-IE"/>
        </w:rPr>
        <w:tab/>
        <w:t xml:space="preserve">Figure </w:t>
      </w:r>
      <w:r>
        <w:rPr>
          <w:lang w:val="en-IE"/>
        </w:rPr>
        <w:t xml:space="preserve">11, </w:t>
      </w:r>
      <w:r w:rsidRPr="00916739">
        <w:rPr>
          <w:lang w:val="en-IE"/>
        </w:rPr>
        <w:t>202</w:t>
      </w:r>
      <w:r>
        <w:rPr>
          <w:lang w:val="en-IE"/>
        </w:rPr>
        <w:t>6</w:t>
      </w:r>
      <w:r w:rsidRPr="00916739">
        <w:rPr>
          <w:lang w:val="en-IE"/>
        </w:rPr>
        <w:t xml:space="preserve"> EU Justice Scoreboard.</w:t>
      </w:r>
      <w:r>
        <w:rPr>
          <w:lang w:val="en-IE"/>
        </w:rPr>
        <w:t xml:space="preserve"> It was 78% in 2023 and 95% in 2022.</w:t>
      </w:r>
      <w:r w:rsidRPr="00916739">
        <w:rPr>
          <w:lang w:val="en-IE"/>
        </w:rPr>
        <w:t xml:space="preserve"> </w:t>
      </w:r>
    </w:p>
  </w:footnote>
  <w:footnote w:id="53">
    <w:p w14:paraId="32F17CDE" w14:textId="77777777" w:rsidR="00490F94" w:rsidRPr="00F94550" w:rsidRDefault="00490F94" w:rsidP="006F4DD2">
      <w:pPr>
        <w:pStyle w:val="FootnoteText"/>
        <w:rPr>
          <w:lang w:val="fr-FR"/>
        </w:rPr>
      </w:pPr>
      <w:r w:rsidRPr="0002081B">
        <w:rPr>
          <w:rStyle w:val="FootnoteReference"/>
        </w:rPr>
        <w:footnoteRef/>
      </w:r>
      <w:r w:rsidRPr="00F94550">
        <w:rPr>
          <w:lang w:val="fr-FR"/>
        </w:rPr>
        <w:t xml:space="preserve"> </w:t>
      </w:r>
      <w:r w:rsidRPr="00F94550">
        <w:rPr>
          <w:lang w:val="fr-FR"/>
        </w:rPr>
        <w:tab/>
      </w:r>
      <w:r w:rsidRPr="00D92D10">
        <w:rPr>
          <w:lang w:val="fr-FR"/>
        </w:rPr>
        <w:t>Figure 11, 2026 EU Justice Scoreboard</w:t>
      </w:r>
      <w:r w:rsidRPr="00E165E6">
        <w:rPr>
          <w:lang w:val="fr-FR"/>
        </w:rPr>
        <w:t>.</w:t>
      </w:r>
      <w:r w:rsidRPr="00D92D10">
        <w:rPr>
          <w:lang w:val="fr-FR" w:eastAsia="fr-FR"/>
        </w:rPr>
        <w:t xml:space="preserve"> </w:t>
      </w:r>
      <w:r w:rsidRPr="00E165E6">
        <w:rPr>
          <w:lang w:val="fr-FR" w:eastAsia="fr-FR"/>
        </w:rPr>
        <w:t>CEPEJ (2026),</w:t>
      </w:r>
      <w:r w:rsidRPr="00F94550">
        <w:rPr>
          <w:lang w:val="fr-FR" w:eastAsia="fr-FR"/>
        </w:rPr>
        <w:t xml:space="preserve"> </w:t>
      </w:r>
      <w:r w:rsidRPr="00D71250">
        <w:rPr>
          <w:lang w:val="fr-FR" w:eastAsia="fr-FR"/>
        </w:rPr>
        <w:t>Table 3.3.3.</w:t>
      </w:r>
    </w:p>
  </w:footnote>
  <w:footnote w:id="54">
    <w:p w14:paraId="75501DF9" w14:textId="77777777" w:rsidR="00490F94" w:rsidRPr="0002081B" w:rsidRDefault="00490F94" w:rsidP="006F4DD2">
      <w:pPr>
        <w:pStyle w:val="FootnoteText"/>
        <w:rPr>
          <w:color w:val="FF0000"/>
        </w:rPr>
      </w:pPr>
      <w:r w:rsidRPr="0002081B">
        <w:rPr>
          <w:rStyle w:val="FootnoteReference"/>
          <w:color w:val="000000" w:themeColor="text1"/>
        </w:rPr>
        <w:footnoteRef/>
      </w:r>
      <w:r w:rsidRPr="0002081B">
        <w:rPr>
          <w:color w:val="000000" w:themeColor="text1"/>
        </w:rPr>
        <w:t xml:space="preserve"> </w:t>
      </w:r>
      <w:r w:rsidRPr="0002081B">
        <w:rPr>
          <w:color w:val="000000" w:themeColor="text1"/>
        </w:rPr>
        <w:tab/>
      </w:r>
      <w:r>
        <w:rPr>
          <w:color w:val="000000" w:themeColor="text1"/>
        </w:rPr>
        <w:t xml:space="preserve">Country visit Italy, </w:t>
      </w:r>
      <w:r w:rsidRPr="0002081B">
        <w:rPr>
          <w:color w:val="000000" w:themeColor="text1"/>
        </w:rPr>
        <w:t xml:space="preserve">Board of the Tax Courts. </w:t>
      </w:r>
    </w:p>
  </w:footnote>
  <w:footnote w:id="55">
    <w:p w14:paraId="1D9AC4AF" w14:textId="77777777" w:rsidR="00490F94" w:rsidRPr="0002081B" w:rsidRDefault="00490F94" w:rsidP="006F4DD2">
      <w:pPr>
        <w:pStyle w:val="FootnoteText"/>
      </w:pPr>
      <w:r w:rsidRPr="0002081B">
        <w:rPr>
          <w:rStyle w:val="FootnoteReference"/>
        </w:rPr>
        <w:footnoteRef/>
      </w:r>
      <w:r w:rsidRPr="0002081B">
        <w:t xml:space="preserve"> </w:t>
      </w:r>
      <w:r w:rsidRPr="0002081B">
        <w:tab/>
      </w:r>
      <w:r>
        <w:t>2025 Rule of Law Report Italy, p. 8</w:t>
      </w:r>
      <w:r w:rsidRPr="0002081B">
        <w:t>.</w:t>
      </w:r>
      <w:r>
        <w:t xml:space="preserve"> </w:t>
      </w:r>
    </w:p>
  </w:footnote>
  <w:footnote w:id="56">
    <w:p w14:paraId="55781E5A" w14:textId="523DB923" w:rsidR="00490F94" w:rsidRPr="0002081B" w:rsidRDefault="00490F94" w:rsidP="006F4DD2">
      <w:pPr>
        <w:pStyle w:val="FootnoteText"/>
      </w:pPr>
      <w:r w:rsidRPr="0002081B">
        <w:rPr>
          <w:rStyle w:val="FootnoteReference"/>
        </w:rPr>
        <w:footnoteRef/>
      </w:r>
      <w:r w:rsidRPr="0002081B">
        <w:t xml:space="preserve"> </w:t>
      </w:r>
      <w:r w:rsidRPr="0002081B">
        <w:tab/>
      </w:r>
      <w:r w:rsidRPr="0002081B">
        <w:rPr>
          <w:lang w:eastAsia="fr-FR"/>
        </w:rPr>
        <w:t xml:space="preserve">These included magistrates volunteering to work remotely for other courts, financial incentives, staff increases in targeted appeal courts. Additional measures concerned staff increases in targeted appeal courts, honorary magistrates deployed to fill vacancies, workload reorganisation, and shortened traineeships for new magistrates. </w:t>
      </w:r>
      <w:r w:rsidRPr="0002081B">
        <w:t>Italian Government (2026), written input, p</w:t>
      </w:r>
      <w:r>
        <w:t>p</w:t>
      </w:r>
      <w:r w:rsidRPr="0002081B">
        <w:t>.</w:t>
      </w:r>
      <w:r>
        <w:t xml:space="preserve"> 11,</w:t>
      </w:r>
      <w:r w:rsidRPr="0002081B">
        <w:t xml:space="preserve"> 19.</w:t>
      </w:r>
    </w:p>
  </w:footnote>
  <w:footnote w:id="57">
    <w:p w14:paraId="7C31460C" w14:textId="77777777" w:rsidR="00490F94" w:rsidRPr="0002081B" w:rsidRDefault="00490F94" w:rsidP="006F4DD2">
      <w:pPr>
        <w:pStyle w:val="FootnoteText"/>
      </w:pPr>
      <w:r w:rsidRPr="0002081B">
        <w:rPr>
          <w:rStyle w:val="FootnoteReference"/>
        </w:rPr>
        <w:footnoteRef/>
      </w:r>
      <w:r w:rsidRPr="0002081B">
        <w:t xml:space="preserve"> </w:t>
      </w:r>
      <w:r w:rsidRPr="0002081B">
        <w:tab/>
        <w:t>New cases have increased by 1% (+87 416),</w:t>
      </w:r>
      <w:r>
        <w:t xml:space="preserve"> and</w:t>
      </w:r>
      <w:r w:rsidRPr="0002081B">
        <w:t xml:space="preserve"> by 14% compared to 2022. A third of cases are closed by agreement at the first mediation meeting. Success rate at following meetings increased from 45% in June 2019 to 52.7% in June 2025. Country visit</w:t>
      </w:r>
      <w:r>
        <w:t xml:space="preserve"> Italy</w:t>
      </w:r>
      <w:r w:rsidRPr="0002081B">
        <w:t xml:space="preserve">, Ministry of Justice. </w:t>
      </w:r>
    </w:p>
  </w:footnote>
  <w:footnote w:id="58">
    <w:p w14:paraId="09593505" w14:textId="77777777" w:rsidR="00490F94" w:rsidRPr="0002081B" w:rsidRDefault="00490F94" w:rsidP="006F4DD2">
      <w:pPr>
        <w:pStyle w:val="FootnoteText"/>
      </w:pPr>
      <w:r w:rsidRPr="0002081B">
        <w:rPr>
          <w:rStyle w:val="FootnoteReference"/>
        </w:rPr>
        <w:footnoteRef/>
      </w:r>
      <w:r w:rsidRPr="0002081B">
        <w:t xml:space="preserve"> </w:t>
      </w:r>
      <w:r w:rsidRPr="0002081B">
        <w:tab/>
        <w:t>Confindustria (2026), written input, pp. 10-11.</w:t>
      </w:r>
    </w:p>
  </w:footnote>
  <w:footnote w:id="59">
    <w:p w14:paraId="3E53C1A1" w14:textId="77777777" w:rsidR="00490F94" w:rsidRPr="005100AE" w:rsidRDefault="00490F94" w:rsidP="006F4DD2">
      <w:pPr>
        <w:pStyle w:val="FootnoteText"/>
      </w:pPr>
      <w:r w:rsidRPr="005100AE">
        <w:rPr>
          <w:rStyle w:val="FootnoteReference"/>
          <w:lang w:val="en-IE"/>
        </w:rPr>
        <w:footnoteRef/>
      </w:r>
      <w:r w:rsidRPr="005100AE">
        <w:t xml:space="preserve"> </w:t>
      </w:r>
      <w:r w:rsidRPr="005100AE">
        <w:tab/>
        <w:t>The level of perceived corruption is categorised as follows: low (above 79); relatively low (between 79-60), relatively high (between 59-50), high (below 50).</w:t>
      </w:r>
    </w:p>
  </w:footnote>
  <w:footnote w:id="60">
    <w:p w14:paraId="2E381BE6" w14:textId="77777777" w:rsidR="00490F94" w:rsidRPr="005100AE" w:rsidRDefault="00490F94" w:rsidP="006F4DD2">
      <w:pPr>
        <w:pStyle w:val="FootnoteText"/>
      </w:pPr>
      <w:r w:rsidRPr="005100AE">
        <w:rPr>
          <w:rStyle w:val="FootnoteReference"/>
          <w:lang w:val="en-IE"/>
        </w:rPr>
        <w:footnoteRef/>
      </w:r>
      <w:r w:rsidRPr="005100AE">
        <w:t xml:space="preserve"> </w:t>
      </w:r>
      <w:r w:rsidRPr="005100AE">
        <w:tab/>
      </w:r>
      <w:r w:rsidRPr="00996E49">
        <w:t>In 2021, the</w:t>
      </w:r>
      <w:r w:rsidRPr="005100AE">
        <w:t xml:space="preserve"> score was </w:t>
      </w:r>
      <w:r>
        <w:t>56</w:t>
      </w:r>
      <w:r w:rsidRPr="005100AE">
        <w:t xml:space="preserve">, while, in </w:t>
      </w:r>
      <w:r w:rsidRPr="00996E49">
        <w:t>2025, the score</w:t>
      </w:r>
      <w:r w:rsidRPr="005100AE">
        <w:t xml:space="preserve"> is </w:t>
      </w:r>
      <w:r>
        <w:t>53</w:t>
      </w:r>
      <w:r w:rsidRPr="005100AE">
        <w:t>. The score significantly increases/decreases when it changes more than five points; improves/deteriorates (changes between 4-5 points) and is relatively stable (changes from 1-3 points) in the last five years.</w:t>
      </w:r>
    </w:p>
  </w:footnote>
  <w:footnote w:id="61">
    <w:p w14:paraId="39931B4D" w14:textId="77777777" w:rsidR="00490F94" w:rsidRPr="005100AE" w:rsidRDefault="00490F94" w:rsidP="006F4DD2">
      <w:pPr>
        <w:pStyle w:val="FootnoteText"/>
      </w:pPr>
      <w:r w:rsidRPr="005100AE">
        <w:rPr>
          <w:rStyle w:val="FootnoteReference"/>
          <w:lang w:val="en-IE"/>
        </w:rPr>
        <w:footnoteRef/>
      </w:r>
      <w:r w:rsidRPr="005100AE">
        <w:t xml:space="preserve"> </w:t>
      </w:r>
      <w:r w:rsidRPr="005100AE">
        <w:tab/>
      </w:r>
      <w:r>
        <w:t xml:space="preserve">Data from </w:t>
      </w:r>
      <w:r w:rsidRPr="005100AE">
        <w:t xml:space="preserve">Special </w:t>
      </w:r>
      <w:r w:rsidRPr="00ED45FC">
        <w:t>Eurobarometer 573 (2026) and Flash Eurobarometer 582 (2026).</w:t>
      </w:r>
      <w:r w:rsidRPr="005100AE">
        <w:t xml:space="preserve"> </w:t>
      </w:r>
    </w:p>
  </w:footnote>
  <w:footnote w:id="62">
    <w:p w14:paraId="5B8B1D28" w14:textId="6E065736" w:rsidR="00490F94" w:rsidRPr="0002081B" w:rsidRDefault="00490F94" w:rsidP="006F4DD2">
      <w:pPr>
        <w:pStyle w:val="FootnoteText"/>
      </w:pPr>
      <w:r w:rsidRPr="0002081B">
        <w:rPr>
          <w:rStyle w:val="FootnoteReference"/>
        </w:rPr>
        <w:footnoteRef/>
      </w:r>
      <w:r w:rsidRPr="0002081B">
        <w:t xml:space="preserve"> </w:t>
      </w:r>
      <w:r w:rsidRPr="0002081B">
        <w:tab/>
        <w:t>ANAC (2026</w:t>
      </w:r>
      <w:r w:rsidR="00C73404">
        <w:t>b</w:t>
      </w:r>
      <w:r w:rsidRPr="0002081B">
        <w:t>).</w:t>
      </w:r>
    </w:p>
  </w:footnote>
  <w:footnote w:id="63">
    <w:p w14:paraId="02EA6C9D" w14:textId="12ADD995" w:rsidR="00490F94" w:rsidRPr="0002081B" w:rsidRDefault="00490F94" w:rsidP="006F4DD2">
      <w:pPr>
        <w:pStyle w:val="FootnoteText"/>
      </w:pPr>
      <w:r w:rsidRPr="0002081B">
        <w:rPr>
          <w:rStyle w:val="FootnoteReference"/>
        </w:rPr>
        <w:footnoteRef/>
      </w:r>
      <w:r w:rsidRPr="0002081B">
        <w:t xml:space="preserve"> </w:t>
      </w:r>
      <w:r w:rsidRPr="0002081B">
        <w:tab/>
        <w:t xml:space="preserve">In its judgment 185/2025, the Constitutional Court found that the revised offence does not violate the Criminal Law Convention on Corruption of the Council of Europe and therefore Italy’s international obligations under the Constitution. Ibid., para. 6. </w:t>
      </w:r>
    </w:p>
  </w:footnote>
  <w:footnote w:id="64">
    <w:p w14:paraId="765577C8" w14:textId="08864683" w:rsidR="00490F94" w:rsidRPr="0002081B" w:rsidRDefault="00490F94" w:rsidP="006F4DD2">
      <w:pPr>
        <w:pStyle w:val="FootnoteText"/>
      </w:pPr>
      <w:r w:rsidRPr="0002081B">
        <w:rPr>
          <w:rStyle w:val="FootnoteReference"/>
        </w:rPr>
        <w:footnoteRef/>
      </w:r>
      <w:r w:rsidRPr="0002081B">
        <w:t xml:space="preserve"> </w:t>
      </w:r>
      <w:r w:rsidRPr="0002081B">
        <w:tab/>
        <w:t xml:space="preserve">Law No. 114 of 9 August 2024 restricted the scope of trading in influence to existing relationships with a public official and to the </w:t>
      </w:r>
      <w:r w:rsidR="002C24B9">
        <w:t>giv</w:t>
      </w:r>
      <w:r w:rsidR="00CE660D">
        <w:t>ing</w:t>
      </w:r>
      <w:r w:rsidRPr="0002081B">
        <w:t xml:space="preserve"> or promise of money or other economic benefits.</w:t>
      </w:r>
    </w:p>
  </w:footnote>
  <w:footnote w:id="65">
    <w:p w14:paraId="47E12F11" w14:textId="77777777" w:rsidR="00490F94" w:rsidRPr="0002081B" w:rsidRDefault="00490F94" w:rsidP="006F4DD2">
      <w:pPr>
        <w:pStyle w:val="FootnoteText"/>
      </w:pPr>
      <w:r w:rsidRPr="0002081B">
        <w:rPr>
          <w:rStyle w:val="FootnoteReference"/>
        </w:rPr>
        <w:footnoteRef/>
      </w:r>
      <w:r w:rsidRPr="0002081B">
        <w:t xml:space="preserve"> </w:t>
      </w:r>
      <w:r w:rsidRPr="0002081B">
        <w:tab/>
        <w:t>Article 314-bis of the Criminal Code (</w:t>
      </w:r>
      <w:r w:rsidRPr="0002081B">
        <w:rPr>
          <w:i/>
          <w:iCs/>
        </w:rPr>
        <w:t>peculato per distrazione</w:t>
      </w:r>
      <w:r w:rsidRPr="0002081B">
        <w:t xml:space="preserve"> / embezzlement by diversion). Country visit Italy, Ministry of Justice. See also 2025 Rule of Law Report, Italy, p. 9. </w:t>
      </w:r>
    </w:p>
  </w:footnote>
  <w:footnote w:id="66">
    <w:p w14:paraId="24D76FE0" w14:textId="77777777" w:rsidR="00490F94" w:rsidRPr="00421BB9" w:rsidRDefault="00490F94" w:rsidP="006F4DD2">
      <w:pPr>
        <w:pStyle w:val="FootnoteText"/>
      </w:pPr>
      <w:r>
        <w:rPr>
          <w:rStyle w:val="FootnoteReference"/>
        </w:rPr>
        <w:footnoteRef/>
      </w:r>
      <w:r>
        <w:t xml:space="preserve"> </w:t>
      </w:r>
      <w:r>
        <w:tab/>
        <w:t xml:space="preserve">See in particular Chapter I of the Italian Criminal Code, Articles 314 to 335a, on crimes of public officials against the public administration, including corruption offences.  </w:t>
      </w:r>
    </w:p>
  </w:footnote>
  <w:footnote w:id="67">
    <w:p w14:paraId="77EBAFE6" w14:textId="77777777" w:rsidR="00490F94" w:rsidRPr="0002081B" w:rsidRDefault="00490F94" w:rsidP="006F4DD2">
      <w:pPr>
        <w:pStyle w:val="FootnoteText"/>
      </w:pPr>
      <w:r w:rsidRPr="0002081B">
        <w:rPr>
          <w:rStyle w:val="FootnoteReference"/>
        </w:rPr>
        <w:footnoteRef/>
      </w:r>
      <w:r w:rsidRPr="0002081B">
        <w:t xml:space="preserve"> </w:t>
      </w:r>
      <w:r w:rsidRPr="0002081B">
        <w:tab/>
        <w:t>Dem.e.tra and Transparency International Italy (2026), written input</w:t>
      </w:r>
      <w:r>
        <w:t>s</w:t>
      </w:r>
      <w:r w:rsidRPr="0002081B">
        <w:t xml:space="preserve">, p. 16 and 16 respectively. </w:t>
      </w:r>
    </w:p>
  </w:footnote>
  <w:footnote w:id="68">
    <w:p w14:paraId="27C80E5B"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Country visit Italy, Court of Cassation and Court of Auditors. </w:t>
      </w:r>
    </w:p>
  </w:footnote>
  <w:footnote w:id="69">
    <w:p w14:paraId="1D2013DB" w14:textId="0863D583" w:rsidR="00C1087E" w:rsidRPr="0002081B" w:rsidRDefault="00490F94" w:rsidP="006F4DD2">
      <w:pPr>
        <w:pStyle w:val="FootnoteText"/>
      </w:pPr>
      <w:r w:rsidRPr="006E0E72">
        <w:rPr>
          <w:rStyle w:val="FootnoteReference"/>
        </w:rPr>
        <w:footnoteRef/>
      </w:r>
      <w:r w:rsidRPr="006E0E72">
        <w:t xml:space="preserve"> </w:t>
      </w:r>
      <w:r w:rsidRPr="006E0E72">
        <w:tab/>
        <w:t>ANAC (2025</w:t>
      </w:r>
      <w:r w:rsidR="00F80DD5">
        <w:t>c</w:t>
      </w:r>
      <w:r w:rsidRPr="006E0E72">
        <w:t>), p. 7.</w:t>
      </w:r>
    </w:p>
  </w:footnote>
  <w:footnote w:id="70">
    <w:p w14:paraId="3FCAF3D1" w14:textId="77777777" w:rsidR="00490F94" w:rsidRPr="0002081B" w:rsidRDefault="00490F94" w:rsidP="006F4DD2">
      <w:pPr>
        <w:pStyle w:val="FootnoteText"/>
      </w:pPr>
      <w:r w:rsidRPr="0002081B">
        <w:rPr>
          <w:rStyle w:val="FootnoteReference"/>
        </w:rPr>
        <w:footnoteRef/>
      </w:r>
      <w:r w:rsidRPr="0002081B">
        <w:t xml:space="preserve"> </w:t>
      </w:r>
      <w:r w:rsidRPr="0002081B">
        <w:tab/>
      </w:r>
      <w:r>
        <w:rPr>
          <w:lang w:val="en-IE"/>
        </w:rPr>
        <w:t xml:space="preserve">Country visit Italy, </w:t>
      </w:r>
      <w:r w:rsidRPr="0002081B">
        <w:t xml:space="preserve">Ministry of Interior. </w:t>
      </w:r>
      <w:r w:rsidRPr="0002081B">
        <w:rPr>
          <w:lang w:eastAsia="fr-FR"/>
        </w:rPr>
        <w:t xml:space="preserve">Due to a backlog in the data collection, the data for 2025 </w:t>
      </w:r>
      <w:r>
        <w:rPr>
          <w:lang w:eastAsia="fr-FR"/>
        </w:rPr>
        <w:t>are</w:t>
      </w:r>
      <w:r w:rsidRPr="0002081B">
        <w:rPr>
          <w:lang w:eastAsia="fr-FR"/>
        </w:rPr>
        <w:t xml:space="preserve"> not yet up to date.</w:t>
      </w:r>
    </w:p>
  </w:footnote>
  <w:footnote w:id="71">
    <w:p w14:paraId="67F87503" w14:textId="77777777" w:rsidR="00490F94" w:rsidRPr="0002081B" w:rsidRDefault="00490F94" w:rsidP="006F4DD2">
      <w:pPr>
        <w:pStyle w:val="FootnoteText"/>
      </w:pPr>
      <w:r w:rsidRPr="0002081B">
        <w:rPr>
          <w:rStyle w:val="FootnoteReference"/>
        </w:rPr>
        <w:footnoteRef/>
      </w:r>
      <w:r w:rsidRPr="0002081B">
        <w:t xml:space="preserve"> </w:t>
      </w:r>
      <w:r w:rsidRPr="0002081B">
        <w:tab/>
      </w:r>
      <w:r w:rsidRPr="00CF4A56">
        <w:t xml:space="preserve">EPPO (2026), written input, pp. </w:t>
      </w:r>
      <w:r>
        <w:t>33</w:t>
      </w:r>
      <w:r w:rsidRPr="00CF4A56">
        <w:t xml:space="preserve">. </w:t>
      </w:r>
      <w:r w:rsidRPr="007C4638">
        <w:t>This number accounts for 2</w:t>
      </w:r>
      <w:r>
        <w:t>.</w:t>
      </w:r>
      <w:r w:rsidRPr="007C4638">
        <w:t>42% of the EPPO’s total cases in Italy.</w:t>
      </w:r>
      <w:r w:rsidRPr="0002081B">
        <w:t xml:space="preserve"> </w:t>
      </w:r>
    </w:p>
  </w:footnote>
  <w:footnote w:id="72">
    <w:p w14:paraId="41ADD6FF" w14:textId="77777777" w:rsidR="00490F94" w:rsidRPr="0002081B" w:rsidRDefault="00490F94" w:rsidP="006F4DD2">
      <w:pPr>
        <w:pStyle w:val="FootnoteText"/>
      </w:pPr>
      <w:r w:rsidRPr="0002081B">
        <w:rPr>
          <w:rStyle w:val="FootnoteReference"/>
        </w:rPr>
        <w:footnoteRef/>
      </w:r>
      <w:r w:rsidRPr="0002081B">
        <w:t xml:space="preserve"> </w:t>
      </w:r>
      <w:r w:rsidRPr="0002081B">
        <w:tab/>
        <w:t>Legislative Decree No</w:t>
      </w:r>
      <w:r>
        <w:t>.</w:t>
      </w:r>
      <w:r w:rsidRPr="0002081B">
        <w:t xml:space="preserve"> 210</w:t>
      </w:r>
      <w:r>
        <w:t xml:space="preserve"> of </w:t>
      </w:r>
      <w:r w:rsidRPr="0002081B">
        <w:t xml:space="preserve">2025. </w:t>
      </w:r>
    </w:p>
  </w:footnote>
  <w:footnote w:id="73">
    <w:p w14:paraId="451DC57C"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The suspension was decided pending a decision from the Court of Justice of the EU to a question filed by the Council of State. 2025 Rule of Law Report, Italy, p. 10. Once again in place, the register would help authorities in the fight against fraud and corruption. Country visit Italy, Court of Auditors. </w:t>
      </w:r>
    </w:p>
  </w:footnote>
  <w:footnote w:id="74">
    <w:p w14:paraId="222DFF83" w14:textId="77777777" w:rsidR="00490F94" w:rsidRPr="007C4638" w:rsidRDefault="00490F94" w:rsidP="006F4DD2">
      <w:pPr>
        <w:pStyle w:val="FootnoteText"/>
        <w:rPr>
          <w:lang w:val="en-IE"/>
        </w:rPr>
      </w:pPr>
      <w:r>
        <w:rPr>
          <w:rStyle w:val="FootnoteReference"/>
        </w:rPr>
        <w:footnoteRef/>
      </w:r>
      <w:r>
        <w:t xml:space="preserve"> </w:t>
      </w:r>
      <w:r>
        <w:rPr>
          <w:lang w:val="en-IE"/>
        </w:rPr>
        <w:tab/>
        <w:t xml:space="preserve">Ministry of Justice (2026), written input. </w:t>
      </w:r>
    </w:p>
  </w:footnote>
  <w:footnote w:id="75">
    <w:p w14:paraId="59B019C8" w14:textId="77777777" w:rsidR="00490F94" w:rsidRPr="007C4638" w:rsidRDefault="00490F94" w:rsidP="006F4DD2">
      <w:pPr>
        <w:pStyle w:val="FootnoteText"/>
        <w:rPr>
          <w:lang w:val="en-IE"/>
        </w:rPr>
      </w:pPr>
      <w:r>
        <w:rPr>
          <w:rStyle w:val="FootnoteReference"/>
        </w:rPr>
        <w:footnoteRef/>
      </w:r>
      <w:r>
        <w:t xml:space="preserve"> </w:t>
      </w:r>
      <w:r>
        <w:rPr>
          <w:lang w:val="en-IE"/>
        </w:rPr>
        <w:tab/>
      </w:r>
      <w:r w:rsidRPr="00A149C7">
        <w:t>23</w:t>
      </w:r>
      <w:r>
        <w:t xml:space="preserve"> OECD </w:t>
      </w:r>
      <w:r w:rsidRPr="00A149C7">
        <w:t xml:space="preserve">recommendations </w:t>
      </w:r>
      <w:r>
        <w:t>related to the OECD Anti-Bribery Convention</w:t>
      </w:r>
      <w:r w:rsidRPr="00A149C7">
        <w:t xml:space="preserve"> remained not implemented</w:t>
      </w:r>
      <w:r w:rsidRPr="00A149C7">
        <w:rPr>
          <w:lang w:val="en-IE"/>
        </w:rPr>
        <w:t xml:space="preserve"> </w:t>
      </w:r>
      <w:r>
        <w:rPr>
          <w:lang w:val="en-IE"/>
        </w:rPr>
        <w:t>and 7 other</w:t>
      </w:r>
      <w:r w:rsidRPr="00A149C7">
        <w:t xml:space="preserve"> recommendations were partially implemented</w:t>
      </w:r>
      <w:r>
        <w:t xml:space="preserve">. OECD (2024), p. 5. </w:t>
      </w:r>
      <w:r>
        <w:rPr>
          <w:lang w:val="en-IE"/>
        </w:rPr>
        <w:t xml:space="preserve">2025 Rule of Law Report, Italy, p. 10. Country visit Italy, Ministry of Justice. ReCommon (2026), written input, p. 3.  </w:t>
      </w:r>
    </w:p>
  </w:footnote>
  <w:footnote w:id="76">
    <w:p w14:paraId="2E0427F0" w14:textId="6709B63B" w:rsidR="00D809FC" w:rsidRPr="0002081B" w:rsidRDefault="00D809FC" w:rsidP="00D809FC">
      <w:pPr>
        <w:pStyle w:val="FootnoteText"/>
      </w:pPr>
      <w:r w:rsidRPr="0002081B">
        <w:rPr>
          <w:rStyle w:val="FootnoteReference"/>
        </w:rPr>
        <w:footnoteRef/>
      </w:r>
      <w:r w:rsidRPr="0002081B">
        <w:t xml:space="preserve"> </w:t>
      </w:r>
      <w:r w:rsidRPr="0002081B">
        <w:tab/>
      </w:r>
      <w:r w:rsidR="001D774A">
        <w:t>Italian government (2026a), additional written input.</w:t>
      </w:r>
    </w:p>
  </w:footnote>
  <w:footnote w:id="77">
    <w:p w14:paraId="53D9FBA6" w14:textId="77777777" w:rsidR="00490F94" w:rsidRPr="0002081B" w:rsidRDefault="00490F94" w:rsidP="006F4DD2">
      <w:pPr>
        <w:pStyle w:val="FootnoteText"/>
      </w:pPr>
      <w:r w:rsidRPr="0002081B">
        <w:rPr>
          <w:rStyle w:val="FootnoteReference"/>
        </w:rPr>
        <w:footnoteRef/>
      </w:r>
      <w:r w:rsidRPr="0002081B">
        <w:t xml:space="preserve"> </w:t>
      </w:r>
      <w:r w:rsidRPr="0002081B">
        <w:tab/>
        <w:t>Law No</w:t>
      </w:r>
      <w:r>
        <w:t>.</w:t>
      </w:r>
      <w:r w:rsidRPr="0002081B">
        <w:t xml:space="preserve"> 1</w:t>
      </w:r>
      <w:r>
        <w:t xml:space="preserve"> of </w:t>
      </w:r>
      <w:r w:rsidRPr="0002081B">
        <w:t xml:space="preserve">2026. For the first time, the law introduces a definition of ‘gross negligence’ for all administrative cases (before, it was left to the interpretation of the judge in each case) which narrows the concept to a few cases such as a manifest breach of the applicable rules. In the event of gross negligence, the compensation of damage in favour of the state is capped at 30% of the affected fund and cannot exceed the double of the annual salary of the person responsible. With these rules in place, the Court of Auditors expects the deterrent effect of the rules to be reduced as well as a decrease of the amounts that the state recovers via judgments by the Court. Country visit Italy, Court of Auditors. </w:t>
      </w:r>
    </w:p>
  </w:footnote>
  <w:footnote w:id="78">
    <w:p w14:paraId="6C980204"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CILD, Dem.e.tra (2026), written input, p. 24 and </w:t>
      </w:r>
      <w:r>
        <w:t xml:space="preserve">p. </w:t>
      </w:r>
      <w:r w:rsidRPr="0002081B">
        <w:t xml:space="preserve">37 respectively. Country visit Italy, ANAC and Court of Cassation. Association of Magistrates of the Court of Auditors (2025). </w:t>
      </w:r>
    </w:p>
  </w:footnote>
  <w:footnote w:id="79">
    <w:p w14:paraId="1E92572E" w14:textId="7991EAB9" w:rsidR="00490F94" w:rsidRPr="0002081B" w:rsidRDefault="00490F94" w:rsidP="006F4DD2">
      <w:pPr>
        <w:pStyle w:val="FootnoteText"/>
      </w:pPr>
      <w:r w:rsidRPr="0002081B">
        <w:rPr>
          <w:rStyle w:val="FootnoteReference"/>
        </w:rPr>
        <w:footnoteRef/>
      </w:r>
      <w:r w:rsidRPr="0002081B">
        <w:t xml:space="preserve">  </w:t>
      </w:r>
      <w:r w:rsidRPr="0002081B">
        <w:tab/>
      </w:r>
      <w:r>
        <w:t xml:space="preserve">Constitutional Court, pending appeals, available at </w:t>
      </w:r>
      <w:hyperlink r:id="rId5" w:history="1">
        <w:r w:rsidRPr="00223270">
          <w:rPr>
            <w:rStyle w:val="Hyperlink"/>
          </w:rPr>
          <w:t>https://www.cortecostituzionale.it/sfoglia-ricorsi</w:t>
        </w:r>
      </w:hyperlink>
      <w:r w:rsidRPr="0002081B">
        <w:t>.</w:t>
      </w:r>
      <w:r w:rsidR="00C57318">
        <w:t xml:space="preserve"> </w:t>
      </w:r>
      <w:r w:rsidR="001262D3">
        <w:t xml:space="preserve">The </w:t>
      </w:r>
      <w:r w:rsidR="0068050E">
        <w:t xml:space="preserve">implementing </w:t>
      </w:r>
      <w:r w:rsidR="00D15460">
        <w:t xml:space="preserve">decrees </w:t>
      </w:r>
      <w:r w:rsidR="00207777">
        <w:t xml:space="preserve">provided for under </w:t>
      </w:r>
      <w:r w:rsidR="003B63F4">
        <w:t xml:space="preserve">Law No. 1 of 2026 </w:t>
      </w:r>
      <w:r w:rsidR="00D15460">
        <w:t>are currently be</w:t>
      </w:r>
      <w:r w:rsidR="00E00594">
        <w:t>i</w:t>
      </w:r>
      <w:r w:rsidR="00D15460">
        <w:t>ng drafted</w:t>
      </w:r>
      <w:r w:rsidR="00E97F39">
        <w:t xml:space="preserve">. </w:t>
      </w:r>
      <w:r w:rsidR="00F17A17">
        <w:t>Italian government (2026</w:t>
      </w:r>
      <w:r w:rsidR="00891BEB">
        <w:t xml:space="preserve">a), additional written input. </w:t>
      </w:r>
    </w:p>
  </w:footnote>
  <w:footnote w:id="80">
    <w:p w14:paraId="6F273FC6" w14:textId="77777777" w:rsidR="00490F94" w:rsidRPr="0002081B" w:rsidRDefault="00490F94" w:rsidP="006F4DD2">
      <w:pPr>
        <w:pStyle w:val="FootnoteText"/>
      </w:pPr>
      <w:r w:rsidRPr="0002081B">
        <w:rPr>
          <w:rStyle w:val="FootnoteReference"/>
        </w:rPr>
        <w:footnoteRef/>
      </w:r>
      <w:r w:rsidRPr="0002081B">
        <w:t xml:space="preserve"> </w:t>
      </w:r>
      <w:r w:rsidRPr="0002081B">
        <w:tab/>
        <w:t>The 2025 Rule of Law Report recommended Italy to ‘adopt the pending legislative proposal on conflicts of interest’.</w:t>
      </w:r>
      <w:r w:rsidRPr="0002081B">
        <w:rPr>
          <w:sz w:val="22"/>
          <w:szCs w:val="22"/>
        </w:rPr>
        <w:t xml:space="preserve"> </w:t>
      </w:r>
      <w:r w:rsidRPr="0002081B">
        <w:t>Some progress was previously assessed on this recommendation in 2025, 2024 and 2023.</w:t>
      </w:r>
    </w:p>
  </w:footnote>
  <w:footnote w:id="81">
    <w:p w14:paraId="4FC67462" w14:textId="58657563" w:rsidR="00490F94" w:rsidRPr="0002081B" w:rsidRDefault="00490F94" w:rsidP="006F4DD2">
      <w:pPr>
        <w:pStyle w:val="FootnoteText"/>
      </w:pPr>
      <w:r w:rsidRPr="0002081B">
        <w:rPr>
          <w:rStyle w:val="FootnoteReference"/>
        </w:rPr>
        <w:footnoteRef/>
      </w:r>
      <w:r w:rsidRPr="0002081B">
        <w:t xml:space="preserve"> </w:t>
      </w:r>
      <w:r w:rsidRPr="0002081B">
        <w:tab/>
        <w:t>2025 Rule of Law Report, Italy, p. 11.</w:t>
      </w:r>
      <w:r w:rsidR="004B6A32">
        <w:t xml:space="preserve"> </w:t>
      </w:r>
      <w:r w:rsidR="0042362D" w:rsidRPr="0042362D">
        <w:t>S</w:t>
      </w:r>
      <w:r w:rsidR="00B1401E" w:rsidRPr="0042362D">
        <w:t xml:space="preserve">ome rules are in place (see in particular </w:t>
      </w:r>
      <w:r w:rsidR="005D105D" w:rsidRPr="0042362D">
        <w:t xml:space="preserve">Law no. 215/2004 on </w:t>
      </w:r>
      <w:r w:rsidR="00913CD1" w:rsidRPr="0042362D">
        <w:t>conflicts of interest for members of the government</w:t>
      </w:r>
      <w:r w:rsidR="000562E8" w:rsidRPr="0042362D">
        <w:t>),</w:t>
      </w:r>
      <w:r w:rsidR="000562E8">
        <w:t xml:space="preserve"> </w:t>
      </w:r>
      <w:r w:rsidR="0042362D" w:rsidRPr="00C61CE5">
        <w:t xml:space="preserve">which </w:t>
      </w:r>
      <w:r w:rsidR="00E26DDD" w:rsidRPr="00C61CE5">
        <w:t xml:space="preserve">include some disclosure obligations for </w:t>
      </w:r>
      <w:r w:rsidR="00890F44" w:rsidRPr="00C61CE5">
        <w:t>holders</w:t>
      </w:r>
      <w:r w:rsidR="00C34801" w:rsidRPr="00C61CE5">
        <w:t xml:space="preserve"> of </w:t>
      </w:r>
      <w:r w:rsidR="00890F44" w:rsidRPr="00C61CE5">
        <w:t>government office</w:t>
      </w:r>
      <w:r w:rsidR="003B166C" w:rsidRPr="00C61CE5">
        <w:t>, in particular for assets</w:t>
      </w:r>
      <w:r w:rsidR="00104B0A" w:rsidRPr="00C61CE5">
        <w:t>. See also</w:t>
      </w:r>
      <w:r w:rsidR="004A003A" w:rsidRPr="00C61CE5">
        <w:t xml:space="preserve"> </w:t>
      </w:r>
      <w:r w:rsidR="00705F3B" w:rsidRPr="00C61CE5">
        <w:t>GRECO</w:t>
      </w:r>
      <w:r w:rsidR="00705F3B">
        <w:t xml:space="preserve"> </w:t>
      </w:r>
      <w:r w:rsidR="00666667">
        <w:t>(202</w:t>
      </w:r>
      <w:r w:rsidR="00FA2CB2">
        <w:t xml:space="preserve">4), p. </w:t>
      </w:r>
      <w:r w:rsidR="00401AA2">
        <w:t>21</w:t>
      </w:r>
      <w:r w:rsidR="006A06AE">
        <w:t xml:space="preserve">-22. </w:t>
      </w:r>
    </w:p>
  </w:footnote>
  <w:footnote w:id="82">
    <w:p w14:paraId="0B6BAB59" w14:textId="77777777" w:rsidR="00490F94" w:rsidRPr="0002081B" w:rsidRDefault="00490F94" w:rsidP="006F4DD2">
      <w:pPr>
        <w:pStyle w:val="FootnoteText"/>
        <w:rPr>
          <w:highlight w:val="yellow"/>
        </w:rPr>
      </w:pPr>
      <w:r w:rsidRPr="0002081B">
        <w:rPr>
          <w:rStyle w:val="FootnoteReference"/>
        </w:rPr>
        <w:footnoteRef/>
      </w:r>
      <w:r w:rsidRPr="0002081B">
        <w:t xml:space="preserve"> </w:t>
      </w:r>
      <w:r w:rsidRPr="0002081B">
        <w:tab/>
        <w:t xml:space="preserve">After approval by the Chamber of Deputies on 28 May 2024, the draft law on conflicts of interest remains pending at the Senate. </w:t>
      </w:r>
    </w:p>
  </w:footnote>
  <w:footnote w:id="83">
    <w:p w14:paraId="3C991D58"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National School of Administration (2026). </w:t>
      </w:r>
    </w:p>
  </w:footnote>
  <w:footnote w:id="84">
    <w:p w14:paraId="590792A8" w14:textId="3B612E7E" w:rsidR="00490F94" w:rsidRPr="0002081B" w:rsidRDefault="00490F94" w:rsidP="006F4DD2">
      <w:pPr>
        <w:pStyle w:val="FootnoteText"/>
      </w:pPr>
      <w:r w:rsidRPr="0002081B">
        <w:rPr>
          <w:rStyle w:val="FootnoteReference"/>
        </w:rPr>
        <w:footnoteRef/>
      </w:r>
      <w:r w:rsidRPr="0002081B">
        <w:t xml:space="preserve">  </w:t>
      </w:r>
      <w:r w:rsidRPr="0002081B">
        <w:tab/>
        <w:t>ANAC (2026</w:t>
      </w:r>
      <w:r w:rsidR="00C73404">
        <w:t>b</w:t>
      </w:r>
      <w:r w:rsidRPr="0002081B">
        <w:t>).</w:t>
      </w:r>
      <w:r>
        <w:t xml:space="preserve"> ANAC issued this guidance document to mitigate the severe fragmentation of norms across legal acts. ANAC (2026</w:t>
      </w:r>
      <w:r w:rsidR="00C73404">
        <w:t>a</w:t>
      </w:r>
      <w:r>
        <w:t xml:space="preserve">), p.9.  </w:t>
      </w:r>
      <w:r w:rsidR="00AB760C">
        <w:t xml:space="preserve">The </w:t>
      </w:r>
      <w:r w:rsidR="00D65B89" w:rsidRPr="0FF586BA">
        <w:rPr>
          <w:lang w:val="en-IE" w:eastAsia="fr-FR"/>
        </w:rPr>
        <w:t>national anti-corruption plan</w:t>
      </w:r>
      <w:r w:rsidR="00D65B89">
        <w:rPr>
          <w:lang w:val="en-IE" w:eastAsia="fr-FR"/>
        </w:rPr>
        <w:t xml:space="preserve"> </w:t>
      </w:r>
      <w:r w:rsidR="009B17FA">
        <w:rPr>
          <w:lang w:val="en-IE" w:eastAsia="fr-FR"/>
        </w:rPr>
        <w:t xml:space="preserve">includes the </w:t>
      </w:r>
      <w:r w:rsidR="009B17FA" w:rsidRPr="009B17FA">
        <w:rPr>
          <w:lang w:val="en-IE" w:eastAsia="fr-FR"/>
        </w:rPr>
        <w:t>objective of adopting standardised declaration templates and strengthening random</w:t>
      </w:r>
      <w:r w:rsidR="009B17FA">
        <w:rPr>
          <w:lang w:val="en-IE" w:eastAsia="fr-FR"/>
        </w:rPr>
        <w:t xml:space="preserve"> </w:t>
      </w:r>
      <w:r w:rsidR="009B17FA" w:rsidRPr="009B17FA">
        <w:rPr>
          <w:lang w:val="en-IE" w:eastAsia="fr-FR"/>
        </w:rPr>
        <w:t xml:space="preserve">checks </w:t>
      </w:r>
      <w:r w:rsidR="009B17FA">
        <w:rPr>
          <w:lang w:val="en-IE" w:eastAsia="fr-FR"/>
        </w:rPr>
        <w:t>on</w:t>
      </w:r>
      <w:r w:rsidR="009B17FA" w:rsidRPr="009B17FA">
        <w:rPr>
          <w:lang w:val="en-IE" w:eastAsia="fr-FR"/>
        </w:rPr>
        <w:t xml:space="preserve"> appointments </w:t>
      </w:r>
      <w:r w:rsidR="005D2BCD">
        <w:rPr>
          <w:lang w:val="en-IE" w:eastAsia="fr-FR"/>
        </w:rPr>
        <w:t>within the public administration to effectively enhance</w:t>
      </w:r>
      <w:r w:rsidR="009B17FA" w:rsidRPr="009B17FA">
        <w:rPr>
          <w:lang w:val="en-IE" w:eastAsia="fr-FR"/>
        </w:rPr>
        <w:t xml:space="preserve"> oversight</w:t>
      </w:r>
      <w:r w:rsidR="005D2BCD">
        <w:rPr>
          <w:lang w:val="en-IE" w:eastAsia="fr-FR"/>
        </w:rPr>
        <w:t xml:space="preserve">. </w:t>
      </w:r>
    </w:p>
  </w:footnote>
  <w:footnote w:id="85">
    <w:p w14:paraId="12922122" w14:textId="77777777" w:rsidR="00490F94" w:rsidRPr="001F3800" w:rsidRDefault="00490F94" w:rsidP="006F4DD2">
      <w:pPr>
        <w:pStyle w:val="FootnoteText"/>
      </w:pPr>
      <w:r>
        <w:rPr>
          <w:rStyle w:val="FootnoteReference"/>
        </w:rPr>
        <w:footnoteRef/>
      </w:r>
      <w:r>
        <w:t xml:space="preserve"> </w:t>
      </w:r>
      <w:r>
        <w:tab/>
        <w:t xml:space="preserve">Guardia di Finanza (2025). </w:t>
      </w:r>
    </w:p>
  </w:footnote>
  <w:footnote w:id="86">
    <w:p w14:paraId="0B0DD0A0"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Law no. 122 of 8 August 2025, Article 2 repealing Article 7 of legislative decree no. 39 of 8 April 2013. </w:t>
      </w:r>
    </w:p>
  </w:footnote>
  <w:footnote w:id="87">
    <w:p w14:paraId="2C09313D" w14:textId="1A4160AE" w:rsidR="00490F94" w:rsidRPr="0002081B" w:rsidRDefault="00490F94" w:rsidP="006F4DD2">
      <w:pPr>
        <w:pStyle w:val="FootnoteText"/>
      </w:pPr>
      <w:r w:rsidRPr="0002081B">
        <w:rPr>
          <w:rStyle w:val="FootnoteReference"/>
        </w:rPr>
        <w:footnoteRef/>
      </w:r>
      <w:r w:rsidRPr="0002081B">
        <w:t xml:space="preserve"> </w:t>
      </w:r>
      <w:r w:rsidRPr="0002081B">
        <w:tab/>
        <w:t>ANAC (2025</w:t>
      </w:r>
      <w:r w:rsidR="00F80DD5">
        <w:t>c</w:t>
      </w:r>
      <w:r w:rsidRPr="0002081B">
        <w:t>), p</w:t>
      </w:r>
      <w:r>
        <w:t>p</w:t>
      </w:r>
      <w:r w:rsidRPr="0002081B">
        <w:t>. 7-8. Country visit Italy, CILD</w:t>
      </w:r>
      <w:r>
        <w:t xml:space="preserve"> and</w:t>
      </w:r>
      <w:r w:rsidRPr="0002081B">
        <w:t xml:space="preserve"> Dem.e.tra. </w:t>
      </w:r>
      <w:r w:rsidR="002F2DB6" w:rsidRPr="00A12B24">
        <w:t>Similar</w:t>
      </w:r>
      <w:r w:rsidR="002F2DB6">
        <w:t>ly</w:t>
      </w:r>
      <w:r w:rsidR="002F2DB6" w:rsidRPr="00A12B24">
        <w:t xml:space="preserve"> </w:t>
      </w:r>
      <w:r w:rsidR="00293B49" w:rsidRPr="00A12B24">
        <w:t xml:space="preserve">to previous interventions </w:t>
      </w:r>
      <w:r w:rsidR="00044784" w:rsidRPr="00A12B24">
        <w:t>in 2024 and 2025</w:t>
      </w:r>
      <w:r w:rsidR="00293B49" w:rsidRPr="00A12B24">
        <w:t>,</w:t>
      </w:r>
      <w:r w:rsidR="002F2DB6" w:rsidRPr="002F2DB6">
        <w:t xml:space="preserve"> </w:t>
      </w:r>
      <w:r w:rsidR="002F2DB6" w:rsidRPr="00A12B24">
        <w:t>ANAC</w:t>
      </w:r>
      <w:r w:rsidR="00293B49" w:rsidRPr="00A12B24">
        <w:t xml:space="preserve"> </w:t>
      </w:r>
      <w:r w:rsidR="00044784" w:rsidRPr="00A12B24">
        <w:t>called for a comprehensive overhaul of the rules governing the ineligibility for public office.  ANAC (2025b)</w:t>
      </w:r>
      <w:r w:rsidR="00293B49" w:rsidRPr="00A12B24">
        <w:t>.</w:t>
      </w:r>
      <w:r w:rsidR="00293B49">
        <w:t xml:space="preserve"> </w:t>
      </w:r>
    </w:p>
  </w:footnote>
  <w:footnote w:id="88">
    <w:p w14:paraId="77B2C3F4" w14:textId="77777777" w:rsidR="00490F94" w:rsidRPr="00BD5769" w:rsidRDefault="00490F94" w:rsidP="006F4DD2">
      <w:pPr>
        <w:pStyle w:val="FootnoteText"/>
      </w:pPr>
      <w:r w:rsidRPr="0002081B">
        <w:rPr>
          <w:rStyle w:val="FootnoteReference"/>
        </w:rPr>
        <w:footnoteRef/>
      </w:r>
      <w:r w:rsidRPr="0002081B">
        <w:t xml:space="preserve"> </w:t>
      </w:r>
      <w:r w:rsidRPr="0002081B">
        <w:tab/>
        <w:t xml:space="preserve">The 2025 Rule of Law Report recommended Italy to ‘adopt comprehensive rules on lobbying to establish an operational lobbying register, including a legislative footprint’. Limited progress was previously assessed on this recommendation in 2025, no progress in 2024 and </w:t>
      </w:r>
      <w:r w:rsidRPr="002E0920">
        <w:t>limited</w:t>
      </w:r>
      <w:r w:rsidRPr="0002081B">
        <w:t xml:space="preserve"> progress in 2023.</w:t>
      </w:r>
    </w:p>
  </w:footnote>
  <w:footnote w:id="89">
    <w:p w14:paraId="20145CD5"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2025 Rule of Law Report, Italy, p. 12. Country visit Italy, The Good Lobby. </w:t>
      </w:r>
    </w:p>
  </w:footnote>
  <w:footnote w:id="90">
    <w:p w14:paraId="483A0E27"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Constitutional Court, </w:t>
      </w:r>
      <w:r>
        <w:t>judgement N</w:t>
      </w:r>
      <w:r w:rsidRPr="0002081B">
        <w:t>o. 185</w:t>
      </w:r>
      <w:r>
        <w:t xml:space="preserve"> </w:t>
      </w:r>
      <w:r w:rsidRPr="007C4638">
        <w:t>of 16 December 2025</w:t>
      </w:r>
      <w:r w:rsidRPr="0002081B">
        <w:t xml:space="preserve">.  </w:t>
      </w:r>
    </w:p>
  </w:footnote>
  <w:footnote w:id="91">
    <w:p w14:paraId="763DBF8A" w14:textId="77777777" w:rsidR="00490F94" w:rsidRPr="007B6244" w:rsidRDefault="00490F94" w:rsidP="006F4DD2">
      <w:pPr>
        <w:pStyle w:val="FootnoteText"/>
        <w:rPr>
          <w:i/>
          <w:iCs/>
          <w:lang w:val="it-IT"/>
        </w:rPr>
      </w:pPr>
      <w:r w:rsidRPr="0002081B">
        <w:rPr>
          <w:rStyle w:val="FootnoteReference"/>
        </w:rPr>
        <w:footnoteRef/>
      </w:r>
      <w:r w:rsidRPr="007B6244">
        <w:rPr>
          <w:lang w:val="it-IT"/>
        </w:rPr>
        <w:t xml:space="preserve"> </w:t>
      </w:r>
      <w:r w:rsidRPr="007B6244">
        <w:rPr>
          <w:lang w:val="it-IT"/>
        </w:rPr>
        <w:tab/>
        <w:t>Draft law A.C. 2336 (</w:t>
      </w:r>
      <w:r w:rsidRPr="007B6244">
        <w:rPr>
          <w:i/>
          <w:iCs/>
          <w:lang w:val="it-IT"/>
        </w:rPr>
        <w:t>Disciplina dell’attività di relazioni istituzionali per la rappresentanza di interessi</w:t>
      </w:r>
      <w:r w:rsidRPr="007B6244">
        <w:rPr>
          <w:lang w:val="it-IT"/>
        </w:rPr>
        <w:t xml:space="preserve">). </w:t>
      </w:r>
    </w:p>
  </w:footnote>
  <w:footnote w:id="92">
    <w:p w14:paraId="39E9F503" w14:textId="77777777" w:rsidR="00490F94" w:rsidRPr="0002081B" w:rsidRDefault="00490F94" w:rsidP="006F4DD2">
      <w:pPr>
        <w:pStyle w:val="FootnoteText"/>
      </w:pPr>
      <w:r w:rsidRPr="0002081B">
        <w:rPr>
          <w:rStyle w:val="FootnoteReference"/>
        </w:rPr>
        <w:footnoteRef/>
      </w:r>
      <w:r w:rsidRPr="0002081B">
        <w:t xml:space="preserve"> </w:t>
      </w:r>
      <w:r w:rsidRPr="0002081B">
        <w:tab/>
      </w:r>
      <w:r>
        <w:t xml:space="preserve">Ministry of Defence, </w:t>
      </w:r>
      <w:r w:rsidRPr="0002081B">
        <w:t>Ministerial Decree of 29 October 2025</w:t>
      </w:r>
      <w:r>
        <w:t xml:space="preserve">, available </w:t>
      </w:r>
      <w:hyperlink r:id="rId6" w:history="1">
        <w:r w:rsidRPr="001960D7">
          <w:rPr>
            <w:rStyle w:val="Hyperlink"/>
          </w:rPr>
          <w:t>here</w:t>
        </w:r>
      </w:hyperlink>
      <w:r w:rsidRPr="0002081B">
        <w:t xml:space="preserve">. </w:t>
      </w:r>
    </w:p>
  </w:footnote>
  <w:footnote w:id="93">
    <w:p w14:paraId="5F6952DF" w14:textId="5B6A3B2A" w:rsidR="00490F94" w:rsidRPr="0002081B" w:rsidRDefault="00490F94" w:rsidP="006F4DD2">
      <w:pPr>
        <w:pStyle w:val="FootnoteText"/>
        <w:rPr>
          <w:lang w:eastAsia="fr-FR"/>
        </w:rPr>
      </w:pPr>
      <w:r w:rsidRPr="0002081B">
        <w:rPr>
          <w:rStyle w:val="FootnoteReference"/>
        </w:rPr>
        <w:footnoteRef/>
      </w:r>
      <w:r w:rsidRPr="0002081B">
        <w:t xml:space="preserve"> </w:t>
      </w:r>
      <w:r w:rsidRPr="0002081B">
        <w:tab/>
        <w:t>The 2025 Rule of Law Report recommended Italy to “effectively and swiftly address the practice of channel</w:t>
      </w:r>
      <w:r>
        <w:t>l</w:t>
      </w:r>
      <w:r w:rsidRPr="0002081B">
        <w:t>ing donations through political foundations and associations and introduce single electronic register for party and campaign finance information”.</w:t>
      </w:r>
      <w:r w:rsidRPr="0002081B">
        <w:rPr>
          <w:lang w:eastAsia="fr-FR"/>
        </w:rPr>
        <w:t xml:space="preserve"> </w:t>
      </w:r>
      <w:r w:rsidRPr="0002081B">
        <w:t>No progress was previously assessed on this recommendation in 2025 and 2024 and some progress in 2023.</w:t>
      </w:r>
      <w:r w:rsidR="00CF1718">
        <w:t xml:space="preserve"> </w:t>
      </w:r>
    </w:p>
  </w:footnote>
  <w:footnote w:id="94">
    <w:p w14:paraId="669D2C98" w14:textId="77777777" w:rsidR="00490F94" w:rsidRPr="00BC5321" w:rsidRDefault="00490F94" w:rsidP="006F4DD2">
      <w:pPr>
        <w:pStyle w:val="FootnoteText"/>
      </w:pPr>
      <w:r w:rsidRPr="0002081B">
        <w:rPr>
          <w:rStyle w:val="FootnoteReference"/>
        </w:rPr>
        <w:footnoteRef/>
      </w:r>
      <w:r w:rsidRPr="0002081B">
        <w:t xml:space="preserve"> </w:t>
      </w:r>
      <w:r w:rsidRPr="0002081B">
        <w:tab/>
        <w:t xml:space="preserve">2025 Rule of Law Report, Italy, p. 12. Italy prohibits direct public funding to political parties, including for political campaigns. Since 2014, political parties are required to finance themselves almost exclusively through private donations from individual donors or legal entities. European Parliament </w:t>
      </w:r>
      <w:r w:rsidRPr="00BC5321">
        <w:t xml:space="preserve">(2021), p. 28. Civil Liberties Union for Europe (2026a), pp. 445-446. </w:t>
      </w:r>
    </w:p>
  </w:footnote>
  <w:footnote w:id="95">
    <w:p w14:paraId="36C4BF87" w14:textId="5EA86B52" w:rsidR="00490F94" w:rsidRPr="00BC5321" w:rsidRDefault="00490F94" w:rsidP="006F4DD2">
      <w:pPr>
        <w:pStyle w:val="FootnoteText"/>
      </w:pPr>
      <w:r w:rsidRPr="00BC5321">
        <w:rPr>
          <w:rStyle w:val="FootnoteReference"/>
        </w:rPr>
        <w:footnoteRef/>
      </w:r>
      <w:r w:rsidRPr="00BC5321">
        <w:t xml:space="preserve"> </w:t>
      </w:r>
      <w:r w:rsidRPr="00BC5321">
        <w:tab/>
        <w:t>Country visit Italy, Ministry of Justice. 2025 Rule of Law Report, Italy, p. 13.</w:t>
      </w:r>
      <w:r w:rsidR="009668D8">
        <w:t xml:space="preserve"> </w:t>
      </w:r>
    </w:p>
  </w:footnote>
  <w:footnote w:id="96">
    <w:p w14:paraId="4394C6F2" w14:textId="282A6B81" w:rsidR="005F7654" w:rsidRPr="00094193" w:rsidRDefault="005F7654">
      <w:pPr>
        <w:pStyle w:val="FootnoteText"/>
      </w:pPr>
      <w:r>
        <w:rPr>
          <w:rStyle w:val="FootnoteReference"/>
        </w:rPr>
        <w:footnoteRef/>
      </w:r>
      <w:r>
        <w:tab/>
      </w:r>
      <w:r w:rsidR="00755208">
        <w:t xml:space="preserve">See </w:t>
      </w:r>
      <w:r w:rsidR="00094193" w:rsidRPr="00BC5321">
        <w:t>2025 Rule of Law Report, Italy, p. 1</w:t>
      </w:r>
      <w:r w:rsidR="00094193">
        <w:t xml:space="preserve">4. </w:t>
      </w:r>
    </w:p>
  </w:footnote>
  <w:footnote w:id="97">
    <w:p w14:paraId="34F45EA2" w14:textId="5926C2EF" w:rsidR="00490F94" w:rsidRPr="00BC5321" w:rsidRDefault="00490F94" w:rsidP="006F4DD2">
      <w:pPr>
        <w:pStyle w:val="FootnoteText"/>
      </w:pPr>
      <w:r w:rsidRPr="00BC5321">
        <w:rPr>
          <w:rStyle w:val="FootnoteReference"/>
        </w:rPr>
        <w:footnoteRef/>
      </w:r>
      <w:r w:rsidRPr="00BC5321">
        <w:t xml:space="preserve"> </w:t>
      </w:r>
      <w:r w:rsidRPr="00BC5321">
        <w:tab/>
        <w:t>ANAC (2025</w:t>
      </w:r>
      <w:r w:rsidR="00F80DD5">
        <w:t>a</w:t>
      </w:r>
      <w:r w:rsidRPr="00BC5321">
        <w:t xml:space="preserve">). Stakeholders welcomed the publication of these guidelines. Confindustria (2026), written input, p. 16. </w:t>
      </w:r>
    </w:p>
  </w:footnote>
  <w:footnote w:id="98">
    <w:p w14:paraId="1DDF365C" w14:textId="77777777" w:rsidR="00490F94" w:rsidRPr="0002081B" w:rsidRDefault="00490F94" w:rsidP="006F4DD2">
      <w:pPr>
        <w:pStyle w:val="FootnoteText"/>
      </w:pPr>
      <w:r w:rsidRPr="00BC5321">
        <w:rPr>
          <w:rStyle w:val="FootnoteReference"/>
        </w:rPr>
        <w:footnoteRef/>
      </w:r>
      <w:r w:rsidRPr="00BC5321">
        <w:t xml:space="preserve"> </w:t>
      </w:r>
      <w:r w:rsidRPr="00BC5321">
        <w:tab/>
      </w:r>
      <w:r w:rsidRPr="00BC5321">
        <w:rPr>
          <w:szCs w:val="24"/>
        </w:rPr>
        <w:t xml:space="preserve">1 931 reports were filed in 2025; 1 517 from the public sector and 414 from the private sector. </w:t>
      </w:r>
      <w:r w:rsidRPr="00BC5321">
        <w:t xml:space="preserve">460 reports were considered inadmissible, 607 were rejected, 397 were forwarded to the competent authorities and 467 were examined by ANAC. ANAC (2026), written input, pp. 6-7. Industry representatives also mention </w:t>
      </w:r>
      <w:r>
        <w:t>the need for better</w:t>
      </w:r>
      <w:r w:rsidRPr="0002081B">
        <w:t xml:space="preserve"> awareness on how </w:t>
      </w:r>
      <w:r>
        <w:t>to use</w:t>
      </w:r>
      <w:r w:rsidRPr="0002081B">
        <w:t xml:space="preserve"> whistleblowing channels. Country visit Italy, Confindustria. </w:t>
      </w:r>
    </w:p>
  </w:footnote>
  <w:footnote w:id="99">
    <w:p w14:paraId="1735222B" w14:textId="77777777" w:rsidR="00490F94" w:rsidRPr="00D71250" w:rsidRDefault="00490F94" w:rsidP="006F4DD2">
      <w:pPr>
        <w:pStyle w:val="FootnoteText"/>
        <w:rPr>
          <w:lang w:val="en-IE"/>
        </w:rPr>
      </w:pPr>
      <w:r>
        <w:rPr>
          <w:rStyle w:val="FootnoteReference"/>
        </w:rPr>
        <w:footnoteRef/>
      </w:r>
      <w:r>
        <w:t xml:space="preserve"> </w:t>
      </w:r>
      <w:r w:rsidRPr="00D71250">
        <w:rPr>
          <w:lang w:val="en-IE"/>
        </w:rPr>
        <w:tab/>
      </w:r>
      <w:r>
        <w:rPr>
          <w:lang w:val="en-IE"/>
        </w:rPr>
        <w:t>In</w:t>
      </w:r>
      <w:r w:rsidRPr="00D71250">
        <w:rPr>
          <w:lang w:val="en-IE"/>
        </w:rPr>
        <w:t xml:space="preserve"> 2025,</w:t>
      </w:r>
      <w:r>
        <w:rPr>
          <w:lang w:val="en-IE"/>
        </w:rPr>
        <w:t xml:space="preserve"> ANAC examined</w:t>
      </w:r>
      <w:r w:rsidRPr="00D71250">
        <w:rPr>
          <w:lang w:val="en-IE"/>
        </w:rPr>
        <w:t xml:space="preserve"> 4</w:t>
      </w:r>
      <w:r>
        <w:rPr>
          <w:lang w:val="en-IE"/>
        </w:rPr>
        <w:t xml:space="preserve"> </w:t>
      </w:r>
      <w:r w:rsidRPr="00D71250">
        <w:rPr>
          <w:lang w:val="en-IE"/>
        </w:rPr>
        <w:t xml:space="preserve">459 incoming communications </w:t>
      </w:r>
      <w:r>
        <w:rPr>
          <w:lang w:val="en-IE"/>
        </w:rPr>
        <w:t>(</w:t>
      </w:r>
      <w:r w:rsidRPr="00D71250">
        <w:rPr>
          <w:lang w:val="en-IE"/>
        </w:rPr>
        <w:t>5</w:t>
      </w:r>
      <w:r>
        <w:rPr>
          <w:lang w:val="en-IE"/>
        </w:rPr>
        <w:t xml:space="preserve"> </w:t>
      </w:r>
      <w:r w:rsidRPr="00D71250">
        <w:rPr>
          <w:lang w:val="en-IE"/>
        </w:rPr>
        <w:t>029</w:t>
      </w:r>
      <w:r>
        <w:rPr>
          <w:lang w:val="en-IE"/>
        </w:rPr>
        <w:t xml:space="preserve"> in 2024) and opened 333 cases, of which 208 were supervisory and 26 sanctioning proceedings (450 and 61 in 2024). Country visit Italy, ANAC. </w:t>
      </w:r>
    </w:p>
  </w:footnote>
  <w:footnote w:id="100">
    <w:p w14:paraId="6C6C8EAE" w14:textId="77777777" w:rsidR="00490F94" w:rsidRPr="000471A4" w:rsidRDefault="00490F94" w:rsidP="006F4DD2">
      <w:pPr>
        <w:pStyle w:val="FootnoteText"/>
        <w:rPr>
          <w:lang w:val="en-IE"/>
        </w:rPr>
      </w:pPr>
      <w:r w:rsidRPr="000471A4">
        <w:rPr>
          <w:rStyle w:val="FootnoteReference"/>
          <w:lang w:val="en-IE"/>
        </w:rPr>
        <w:footnoteRef/>
      </w:r>
      <w:r w:rsidRPr="000471A4">
        <w:rPr>
          <w:lang w:val="en-IE"/>
        </w:rPr>
        <w:t xml:space="preserve"> </w:t>
      </w:r>
      <w:r w:rsidRPr="000471A4">
        <w:rPr>
          <w:lang w:val="en-IE"/>
        </w:rPr>
        <w:tab/>
        <w:t>Flash Eurobarometer</w:t>
      </w:r>
      <w:r w:rsidRPr="004E5BE0">
        <w:rPr>
          <w:lang w:val="en-IE"/>
        </w:rPr>
        <w:t xml:space="preserve"> </w:t>
      </w:r>
      <w:r>
        <w:rPr>
          <w:lang w:val="en-IE"/>
        </w:rPr>
        <w:t xml:space="preserve">582 </w:t>
      </w:r>
      <w:r w:rsidRPr="000471A4">
        <w:rPr>
          <w:lang w:val="en-IE"/>
        </w:rPr>
        <w:t>on Businesses’ attitudes towards corruption in the EU (202</w:t>
      </w:r>
      <w:r>
        <w:rPr>
          <w:lang w:val="en-IE"/>
        </w:rPr>
        <w:t>6</w:t>
      </w:r>
      <w:r w:rsidRPr="000471A4">
        <w:rPr>
          <w:lang w:val="en-IE"/>
        </w:rPr>
        <w:t xml:space="preserve">). This is </w:t>
      </w:r>
      <w:r w:rsidRPr="00D71250">
        <w:rPr>
          <w:lang w:val="en-IE"/>
        </w:rPr>
        <w:t xml:space="preserve">four </w:t>
      </w:r>
      <w:r w:rsidRPr="000471A4">
        <w:rPr>
          <w:lang w:val="en-IE"/>
        </w:rPr>
        <w:t>percentage points</w:t>
      </w:r>
      <w:r w:rsidRPr="00D71250">
        <w:rPr>
          <w:lang w:val="en-IE"/>
        </w:rPr>
        <w:t xml:space="preserve"> above </w:t>
      </w:r>
      <w:r w:rsidRPr="000471A4">
        <w:rPr>
          <w:lang w:val="en-IE"/>
        </w:rPr>
        <w:t>the EU average.</w:t>
      </w:r>
    </w:p>
  </w:footnote>
  <w:footnote w:id="101">
    <w:p w14:paraId="1BAA98DB" w14:textId="77777777" w:rsidR="00490F94" w:rsidRPr="00D71250" w:rsidRDefault="00490F94" w:rsidP="006F4DD2">
      <w:pPr>
        <w:pStyle w:val="FootnoteText"/>
        <w:rPr>
          <w:lang w:val="en-IE"/>
        </w:rPr>
      </w:pPr>
      <w:r w:rsidRPr="00056F1D">
        <w:rPr>
          <w:rStyle w:val="FootnoteReference"/>
        </w:rPr>
        <w:footnoteRef/>
      </w:r>
      <w:r w:rsidRPr="00D71250">
        <w:rPr>
          <w:lang w:val="en-IE"/>
        </w:rPr>
        <w:t xml:space="preserve"> </w:t>
      </w:r>
      <w:r w:rsidRPr="00D71250">
        <w:rPr>
          <w:lang w:val="en-IE"/>
        </w:rPr>
        <w:tab/>
        <w:t>Figure 59, 2026 EU Justice Scoreboard.</w:t>
      </w:r>
    </w:p>
  </w:footnote>
  <w:footnote w:id="102">
    <w:p w14:paraId="7AB6D5E8" w14:textId="3F112EDB" w:rsidR="00490F94" w:rsidRPr="0002081B" w:rsidRDefault="00490F94" w:rsidP="006F4DD2">
      <w:pPr>
        <w:pStyle w:val="FootnoteText"/>
      </w:pPr>
      <w:r w:rsidRPr="0002081B">
        <w:rPr>
          <w:rStyle w:val="FootnoteReference"/>
        </w:rPr>
        <w:footnoteRef/>
      </w:r>
      <w:r w:rsidRPr="00C111D3">
        <w:t xml:space="preserve"> </w:t>
      </w:r>
      <w:r w:rsidRPr="00C111D3">
        <w:tab/>
        <w:t>ANAC (2026</w:t>
      </w:r>
      <w:r w:rsidR="00C73404">
        <w:t>a</w:t>
      </w:r>
      <w:r w:rsidRPr="00C111D3">
        <w:t xml:space="preserve">), p. 23. </w:t>
      </w:r>
      <w:r w:rsidRPr="0002081B">
        <w:t>Confindustria (2026), written input, p.</w:t>
      </w:r>
      <w:r w:rsidR="00A20DFD">
        <w:t xml:space="preserve"> </w:t>
      </w:r>
      <w:r w:rsidRPr="0002081B">
        <w:t xml:space="preserve">4. </w:t>
      </w:r>
    </w:p>
  </w:footnote>
  <w:footnote w:id="103">
    <w:p w14:paraId="53392901"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While some stakeholders, including ANAC, have voiced concerns that the new rules reduce obligations of public authorities to ensure their impartiality in procurement procedures, industry representatives describe the updated code as a results-oriented approach facilitating procurement procedures. Country visit Italy, ANAC, Confindustria. Court of Cassation (2026), written input, pp. 9-10. </w:t>
      </w:r>
    </w:p>
  </w:footnote>
  <w:footnote w:id="104">
    <w:p w14:paraId="52E6F1CA" w14:textId="113F4DD8" w:rsidR="00490F94" w:rsidRPr="00C61CE5" w:rsidRDefault="00490F94" w:rsidP="006F4DD2">
      <w:pPr>
        <w:pStyle w:val="FootnoteText"/>
        <w:rPr>
          <w:lang w:val="de-DE"/>
        </w:rPr>
      </w:pPr>
      <w:r w:rsidRPr="0002081B">
        <w:rPr>
          <w:rStyle w:val="FootnoteReference"/>
        </w:rPr>
        <w:footnoteRef/>
      </w:r>
      <w:r w:rsidRPr="00C61CE5">
        <w:rPr>
          <w:lang w:val="de-DE"/>
        </w:rPr>
        <w:t xml:space="preserve"> </w:t>
      </w:r>
      <w:r w:rsidRPr="00C61CE5">
        <w:rPr>
          <w:lang w:val="de-DE"/>
        </w:rPr>
        <w:tab/>
        <w:t>ANAC (2026</w:t>
      </w:r>
      <w:r w:rsidR="00C73404" w:rsidRPr="00C61CE5">
        <w:rPr>
          <w:lang w:val="de-DE"/>
        </w:rPr>
        <w:t>b</w:t>
      </w:r>
      <w:r w:rsidRPr="00C61CE5">
        <w:rPr>
          <w:lang w:val="de-DE"/>
        </w:rPr>
        <w:t>), p. 36</w:t>
      </w:r>
    </w:p>
  </w:footnote>
  <w:footnote w:id="105">
    <w:p w14:paraId="00D6B7D7" w14:textId="449A197B" w:rsidR="00490F94" w:rsidRPr="0002081B" w:rsidRDefault="00490F94" w:rsidP="006F4DD2">
      <w:pPr>
        <w:pStyle w:val="FootnoteText"/>
      </w:pPr>
      <w:r w:rsidRPr="0002081B">
        <w:rPr>
          <w:rStyle w:val="FootnoteReference"/>
        </w:rPr>
        <w:footnoteRef/>
      </w:r>
      <w:r w:rsidRPr="00C61CE5">
        <w:rPr>
          <w:lang w:val="de-DE"/>
        </w:rPr>
        <w:t xml:space="preserve"> </w:t>
      </w:r>
      <w:r w:rsidRPr="00C61CE5">
        <w:rPr>
          <w:lang w:val="de-DE"/>
        </w:rPr>
        <w:tab/>
        <w:t>ANAC (2026</w:t>
      </w:r>
      <w:r w:rsidR="00C73404" w:rsidRPr="00C61CE5">
        <w:rPr>
          <w:lang w:val="de-DE"/>
        </w:rPr>
        <w:t>b</w:t>
      </w:r>
      <w:r w:rsidRPr="00C61CE5">
        <w:rPr>
          <w:lang w:val="de-DE"/>
        </w:rPr>
        <w:t>), p. 68.</w:t>
      </w:r>
      <w:r w:rsidRPr="00C61CE5">
        <w:rPr>
          <w:lang w:val="de-DE" w:eastAsia="fr-FR"/>
        </w:rPr>
        <w:t xml:space="preserve"> </w:t>
      </w:r>
      <w:r w:rsidRPr="0002081B">
        <w:t>ANAC (2026), written input, p. 4.</w:t>
      </w:r>
      <w:r w:rsidRPr="009537DA">
        <w:rPr>
          <w:bCs/>
          <w:lang w:eastAsia="fr-FR"/>
        </w:rPr>
        <w:t xml:space="preserve"> </w:t>
      </w:r>
      <w:r w:rsidRPr="0002081B">
        <w:rPr>
          <w:bCs/>
          <w:lang w:eastAsia="fr-FR"/>
        </w:rPr>
        <w:t>Legislative Decree No. 33 of 2013.</w:t>
      </w:r>
    </w:p>
  </w:footnote>
  <w:footnote w:id="106">
    <w:p w14:paraId="48576455"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Country visit Italy, ANAC.  </w:t>
      </w:r>
    </w:p>
  </w:footnote>
  <w:footnote w:id="107">
    <w:p w14:paraId="5BB0F7AE" w14:textId="77777777" w:rsidR="00490F94" w:rsidRPr="00161D8E" w:rsidRDefault="00490F94" w:rsidP="006F4DD2">
      <w:pPr>
        <w:pStyle w:val="FootnoteText"/>
      </w:pPr>
      <w:r>
        <w:rPr>
          <w:rStyle w:val="FootnoteReference"/>
        </w:rPr>
        <w:footnoteRef/>
      </w:r>
      <w:r>
        <w:t xml:space="preserve"> </w:t>
      </w:r>
      <w:r>
        <w:tab/>
        <w:t xml:space="preserve">ANAC (2026), written input, p. 10. </w:t>
      </w:r>
    </w:p>
  </w:footnote>
  <w:footnote w:id="108">
    <w:p w14:paraId="2F1ABB9C" w14:textId="77777777" w:rsidR="00490F94" w:rsidRPr="00BC5321" w:rsidRDefault="00490F94" w:rsidP="006F4DD2">
      <w:pPr>
        <w:pStyle w:val="FootnoteText"/>
      </w:pPr>
      <w:r w:rsidRPr="0002081B">
        <w:rPr>
          <w:rStyle w:val="FootnoteReference"/>
        </w:rPr>
        <w:footnoteRef/>
      </w:r>
      <w:r w:rsidRPr="0002081B">
        <w:t xml:space="preserve"> </w:t>
      </w:r>
      <w:r w:rsidRPr="0002081B">
        <w:tab/>
        <w:t xml:space="preserve">2025 Rule of Law Report, Italy, p. 14, </w:t>
      </w:r>
      <w:r w:rsidRPr="003D2135">
        <w:t xml:space="preserve">The Media Pluralisms Monitor (MPM) 2026 assesses the </w:t>
      </w:r>
      <w:r w:rsidRPr="00BC5321">
        <w:t xml:space="preserve">independence and effectiveness of AGCOM at low risk, </w:t>
      </w:r>
      <w:r w:rsidRPr="001751A3">
        <w:t>2026</w:t>
      </w:r>
      <w:r w:rsidRPr="00BC5321">
        <w:t xml:space="preserve"> Media Pluralism Monitor, pp. 8, 13 and 20-21. </w:t>
      </w:r>
      <w:r w:rsidRPr="00BC5321">
        <w:rPr>
          <w:lang w:eastAsia="fr-FR"/>
        </w:rPr>
        <w:t xml:space="preserve">As part of its monitoring tasks of the news media system, AGCOM is preparing a study on news media journalism in Italy and the main challenges and transformations affecting the profession, in collaboration with relevant media stakeholders. </w:t>
      </w:r>
      <w:r w:rsidRPr="00BC5321">
        <w:t>Italian Government (2026), written input, pp. 31-32; AGCOM (2026), written input, p. 6; Country visit Italy, AGCOM.</w:t>
      </w:r>
    </w:p>
  </w:footnote>
  <w:footnote w:id="109">
    <w:p w14:paraId="2F9C0AA4" w14:textId="66D05E7F" w:rsidR="00490F94" w:rsidRPr="00BC5321" w:rsidRDefault="00490F94" w:rsidP="006F4DD2">
      <w:pPr>
        <w:pStyle w:val="FootnoteText"/>
      </w:pPr>
      <w:r w:rsidRPr="00D41906">
        <w:rPr>
          <w:rStyle w:val="FootnoteReference"/>
        </w:rPr>
        <w:footnoteRef/>
      </w:r>
      <w:r w:rsidRPr="00D41906">
        <w:t xml:space="preserve"> </w:t>
      </w:r>
      <w:r w:rsidRPr="00D41906">
        <w:tab/>
        <w:t xml:space="preserve">2026 Media Pluralism Monitor, p. 21. The 2026 Budget Law clarified that the self-financing system is solely based on contributions from AGCOM’s regulated entities and cannot rely on state funding or public contributions, thus reinforcing financial autonomy of the regulator. </w:t>
      </w:r>
      <w:r w:rsidR="00554C56" w:rsidRPr="00D41906">
        <w:t>The budget law also clarified that these contributions are a tax and not a levy, with the aim to</w:t>
      </w:r>
      <w:r w:rsidRPr="00D41906">
        <w:t xml:space="preserve"> provide more stability and certainty regarding available resources for the regulator. Country visit Italy, AGCOM</w:t>
      </w:r>
      <w:r w:rsidRPr="00BC5321">
        <w:t xml:space="preserve">. </w:t>
      </w:r>
    </w:p>
  </w:footnote>
  <w:footnote w:id="110">
    <w:p w14:paraId="10510D8C" w14:textId="77777777" w:rsidR="00490F94" w:rsidRPr="0002081B" w:rsidRDefault="00490F94" w:rsidP="006F4DD2">
      <w:pPr>
        <w:pStyle w:val="FootnoteText"/>
      </w:pPr>
      <w:r w:rsidRPr="00BC5321">
        <w:rPr>
          <w:rStyle w:val="FootnoteReference"/>
        </w:rPr>
        <w:footnoteRef/>
      </w:r>
      <w:r w:rsidRPr="00BC5321">
        <w:t xml:space="preserve"> </w:t>
      </w:r>
      <w:r>
        <w:t>This is particularly the case in relation to the new competences acquired by AGCOM as digital services coordinator under the Digital Services Act.</w:t>
      </w:r>
      <w:r w:rsidRPr="00BC5321">
        <w:t xml:space="preserve"> Country visit Italy, AGCOM</w:t>
      </w:r>
      <w:r>
        <w:t>.</w:t>
      </w:r>
      <w:r w:rsidRPr="00BC5321">
        <w:t xml:space="preserve"> </w:t>
      </w:r>
      <w:r w:rsidRPr="001751A3">
        <w:t>2026</w:t>
      </w:r>
      <w:r w:rsidRPr="00BC5321">
        <w:t xml:space="preserve"> Media Pluralism Monitor, p</w:t>
      </w:r>
      <w:r>
        <w:t>p</w:t>
      </w:r>
      <w:r w:rsidRPr="00BC5321">
        <w:t xml:space="preserve">. </w:t>
      </w:r>
      <w:r>
        <w:t>20-</w:t>
      </w:r>
      <w:r w:rsidRPr="00BC5321">
        <w:t>21.</w:t>
      </w:r>
    </w:p>
  </w:footnote>
  <w:footnote w:id="111">
    <w:p w14:paraId="108170C8" w14:textId="77777777" w:rsidR="00490F94" w:rsidRPr="0002081B" w:rsidRDefault="00490F94" w:rsidP="006F4DD2">
      <w:pPr>
        <w:pStyle w:val="FootnoteText"/>
      </w:pPr>
      <w:r w:rsidRPr="0002081B">
        <w:rPr>
          <w:rStyle w:val="FootnoteReference"/>
        </w:rPr>
        <w:footnoteRef/>
      </w:r>
      <w:r w:rsidRPr="0002081B">
        <w:t xml:space="preserve"> </w:t>
      </w:r>
      <w:r w:rsidRPr="0002081B">
        <w:tab/>
        <w:t>The 2025 Rule of Law Report recommended Italy to “advance with the ongoing legislative work to ensure that rules or mechanisms are in place to provide funding for public service media that is appropriate for the realisation of its public service remit and to guarantee its independence”. Some progress was previously assessed on this recommendation in 2025.</w:t>
      </w:r>
    </w:p>
  </w:footnote>
  <w:footnote w:id="112">
    <w:p w14:paraId="50D04F9E"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RAI (2026), written input, p.11; Country visit Italy, RAI.  </w:t>
      </w:r>
    </w:p>
  </w:footnote>
  <w:footnote w:id="113">
    <w:p w14:paraId="628B4B9E" w14:textId="77777777" w:rsidR="00490F94" w:rsidRPr="00D97C11" w:rsidRDefault="00490F94" w:rsidP="006F4DD2">
      <w:pPr>
        <w:pStyle w:val="FootnoteText"/>
      </w:pPr>
      <w:r>
        <w:rPr>
          <w:rStyle w:val="FootnoteReference"/>
        </w:rPr>
        <w:footnoteRef/>
      </w:r>
      <w:r>
        <w:t xml:space="preserve"> </w:t>
      </w:r>
      <w:r>
        <w:tab/>
        <w:t>The draft proposal was formulated by consolidating the different proposals presented in the Senate in 2024. Italian Government (2026), written input, p. 3; 2025 Rule of Law Report, Italy, p. 14.</w:t>
      </w:r>
    </w:p>
  </w:footnote>
  <w:footnote w:id="114">
    <w:p w14:paraId="14E0E9D5" w14:textId="0885670F" w:rsidR="00490F94" w:rsidRPr="0002081B" w:rsidRDefault="00490F94" w:rsidP="006F4DD2">
      <w:pPr>
        <w:pStyle w:val="FootnoteText"/>
      </w:pPr>
      <w:r w:rsidRPr="0002081B">
        <w:rPr>
          <w:rStyle w:val="FootnoteReference"/>
        </w:rPr>
        <w:footnoteRef/>
      </w:r>
      <w:r w:rsidRPr="0002081B">
        <w:t xml:space="preserve"> </w:t>
      </w:r>
      <w:r w:rsidRPr="0002081B">
        <w:tab/>
      </w:r>
      <w:r>
        <w:t xml:space="preserve">Changes include the extension of the term of office of the members of RAI’s management board, the elimination of direct appointment powers of members of RAI’s management board by the Government, the introduction of </w:t>
      </w:r>
      <w:r w:rsidRPr="0002081B">
        <w:t>a cap to yearly potential reductions to the amount of licence fee for RAI</w:t>
      </w:r>
      <w:r>
        <w:t xml:space="preserve">, </w:t>
      </w:r>
      <w:r w:rsidRPr="0002081B">
        <w:t>Italian Government, RAI, FNSI, CILD, Ordine dei Giornalisti, and OBCT (2026), written inputs, pp. 3-4, pp. 1</w:t>
      </w:r>
      <w:r>
        <w:t>, 5</w:t>
      </w:r>
      <w:r w:rsidRPr="0002081B">
        <w:t xml:space="preserve"> and </w:t>
      </w:r>
      <w:r>
        <w:t>6</w:t>
      </w:r>
      <w:r w:rsidRPr="0002081B">
        <w:t>, p.</w:t>
      </w:r>
      <w:r w:rsidR="00C03DC5">
        <w:t xml:space="preserve"> </w:t>
      </w:r>
      <w:r w:rsidRPr="0002081B">
        <w:t>16, p. 26</w:t>
      </w:r>
      <w:r>
        <w:t xml:space="preserve"> and 28</w:t>
      </w:r>
      <w:r w:rsidRPr="0002081B">
        <w:t>, pp. 14 and 17, and pp. 14 and 16-17, respectively.</w:t>
      </w:r>
    </w:p>
  </w:footnote>
  <w:footnote w:id="115">
    <w:p w14:paraId="13774668" w14:textId="77777777" w:rsidR="00490F94" w:rsidRPr="00CD1C22" w:rsidRDefault="00490F94" w:rsidP="006F4DD2">
      <w:pPr>
        <w:pStyle w:val="FootnoteText"/>
      </w:pPr>
      <w:r>
        <w:rPr>
          <w:rStyle w:val="FootnoteReference"/>
        </w:rPr>
        <w:footnoteRef/>
      </w:r>
      <w:r>
        <w:t xml:space="preserve"> </w:t>
      </w:r>
      <w:r w:rsidRPr="0002081B">
        <w:t xml:space="preserve">Italian Government (2026), written input, pp. 3-4; Country </w:t>
      </w:r>
      <w:r>
        <w:t>v</w:t>
      </w:r>
      <w:r w:rsidRPr="0002081B">
        <w:t>isit Italy, Italian Government.</w:t>
      </w:r>
    </w:p>
  </w:footnote>
  <w:footnote w:id="116">
    <w:p w14:paraId="61D4B5D5" w14:textId="77777777" w:rsidR="00490F94" w:rsidRPr="00233FDD" w:rsidRDefault="00490F94" w:rsidP="006F4DD2">
      <w:pPr>
        <w:pStyle w:val="FootnoteText"/>
      </w:pPr>
      <w:r>
        <w:rPr>
          <w:rStyle w:val="FootnoteReference"/>
        </w:rPr>
        <w:footnoteRef/>
      </w:r>
      <w:r w:rsidRPr="00CD1C22">
        <w:t xml:space="preserve"> OBCT, Ordine dei Giornalisti, FNSI,</w:t>
      </w:r>
      <w:r>
        <w:t xml:space="preserve"> </w:t>
      </w:r>
      <w:r w:rsidRPr="00CD1C22">
        <w:t>RAI</w:t>
      </w:r>
      <w:r>
        <w:t xml:space="preserve"> and CILD</w:t>
      </w:r>
      <w:r w:rsidRPr="00CD1C22">
        <w:t xml:space="preserve"> (2026), written inputs, an</w:t>
      </w:r>
      <w:r>
        <w:t>d RAI (2026) additional written inputs,</w:t>
      </w:r>
      <w:r w:rsidRPr="00CD1C22">
        <w:t xml:space="preserve"> p</w:t>
      </w:r>
      <w:r>
        <w:t xml:space="preserve">p. 14 and </w:t>
      </w:r>
      <w:r w:rsidRPr="00CD1C22">
        <w:t>17, pp.14 and 17, pp.16-17</w:t>
      </w:r>
      <w:r>
        <w:t xml:space="preserve">, </w:t>
      </w:r>
      <w:r w:rsidRPr="00CD1C22">
        <w:t>pp. 5-6</w:t>
      </w:r>
      <w:r>
        <w:t xml:space="preserve">, p. 26, </w:t>
      </w:r>
      <w:r w:rsidRPr="00233FDD">
        <w:t>and pp. 6-9 respectively; 2026 Media Pluralism Monitor, pp. 42-43; Country visit Italy, FNSI, Ordine dei Giornalisti, Ossigeno per l’informazione, and OBCT.</w:t>
      </w:r>
    </w:p>
  </w:footnote>
  <w:footnote w:id="117">
    <w:p w14:paraId="3850931B" w14:textId="77777777" w:rsidR="00490F94" w:rsidRPr="0002081B" w:rsidRDefault="00490F94" w:rsidP="006F4DD2">
      <w:pPr>
        <w:pStyle w:val="FootnoteText"/>
      </w:pPr>
      <w:r w:rsidRPr="0002081B">
        <w:rPr>
          <w:rStyle w:val="FootnoteReference"/>
        </w:rPr>
        <w:footnoteRef/>
      </w:r>
      <w:r w:rsidRPr="0002081B">
        <w:t xml:space="preserve"> According to applicable rules, in case the office of President remains vacant, its duties are carried out by the most senior member of the management board, ensuring continuity of editorial and administrative activities</w:t>
      </w:r>
      <w:r>
        <w:t>.</w:t>
      </w:r>
      <w:r w:rsidRPr="0002081B">
        <w:t xml:space="preserve"> RAI (2026), written input, pp. 5-6; Country visit Italy, RAI.</w:t>
      </w:r>
    </w:p>
  </w:footnote>
  <w:footnote w:id="118">
    <w:p w14:paraId="06284DC7" w14:textId="55E9E226" w:rsidR="00490F94" w:rsidRPr="0002081B" w:rsidRDefault="00490F94" w:rsidP="006F4DD2">
      <w:pPr>
        <w:pStyle w:val="FootnoteText"/>
      </w:pPr>
      <w:r w:rsidRPr="0002081B">
        <w:rPr>
          <w:rStyle w:val="FootnoteReference"/>
        </w:rPr>
        <w:footnoteRef/>
      </w:r>
      <w:r w:rsidRPr="0002081B">
        <w:t xml:space="preserve"> </w:t>
      </w:r>
      <w:r w:rsidRPr="0002081B">
        <w:tab/>
        <w:t>FNSI, CILD, OBCT, and Reporters Without Borders (2026), written inputs, p.</w:t>
      </w:r>
      <w:r w:rsidR="00C03DC5">
        <w:t xml:space="preserve"> </w:t>
      </w:r>
      <w:r w:rsidRPr="0002081B">
        <w:t>16, p.28, p.</w:t>
      </w:r>
      <w:r w:rsidR="00C03DC5">
        <w:t xml:space="preserve"> </w:t>
      </w:r>
      <w:r w:rsidRPr="0002081B">
        <w:t>16, and pp.</w:t>
      </w:r>
      <w:r w:rsidR="00C03DC5">
        <w:t xml:space="preserve"> </w:t>
      </w:r>
      <w:r w:rsidRPr="0002081B">
        <w:t>15-16 respectively;</w:t>
      </w:r>
      <w:r w:rsidRPr="00944A15">
        <w:rPr>
          <w:sz w:val="24"/>
          <w:szCs w:val="22"/>
        </w:rPr>
        <w:t xml:space="preserve"> </w:t>
      </w:r>
      <w:r w:rsidRPr="00944A15">
        <w:t xml:space="preserve">The MPM 2026 confirms a high risk indicator for the independence of public service media, as </w:t>
      </w:r>
      <w:r w:rsidRPr="003435FB">
        <w:t>in 2025, 2026 Media Pluralism Monitor, pp. 9,10, and 42-44</w:t>
      </w:r>
      <w:bookmarkStart w:id="18" w:name="_Hlk223089167"/>
      <w:r w:rsidRPr="003435FB">
        <w:t>; Country</w:t>
      </w:r>
      <w:r w:rsidRPr="0002081B">
        <w:t xml:space="preserve"> visit Italy, FNSI, Ordine dei Giornalisti, OBCT, and Ossigeno per l’informazione.</w:t>
      </w:r>
      <w:bookmarkEnd w:id="18"/>
    </w:p>
  </w:footnote>
  <w:footnote w:id="119">
    <w:p w14:paraId="533C6C09" w14:textId="77777777" w:rsidR="00490F94" w:rsidRPr="00D823C4" w:rsidRDefault="00490F94" w:rsidP="006F4DD2">
      <w:pPr>
        <w:pStyle w:val="FootnoteText"/>
      </w:pPr>
      <w:r>
        <w:rPr>
          <w:rStyle w:val="FootnoteReference"/>
        </w:rPr>
        <w:footnoteRef/>
      </w:r>
      <w:r>
        <w:t xml:space="preserve"> </w:t>
      </w:r>
      <w:r>
        <w:tab/>
        <w:t>Italian Government (2026a), additional written input, p. 1.</w:t>
      </w:r>
    </w:p>
  </w:footnote>
  <w:footnote w:id="120">
    <w:p w14:paraId="50097D92" w14:textId="77777777" w:rsidR="00490F94" w:rsidRPr="0002081B" w:rsidRDefault="00490F94" w:rsidP="006F4DD2">
      <w:pPr>
        <w:pStyle w:val="FootnoteText"/>
      </w:pPr>
      <w:r w:rsidRPr="0002081B">
        <w:rPr>
          <w:rStyle w:val="FootnoteReference"/>
        </w:rPr>
        <w:footnoteRef/>
      </w:r>
      <w:r w:rsidRPr="0002081B">
        <w:t xml:space="preserve"> </w:t>
      </w:r>
      <w:r w:rsidRPr="0002081B">
        <w:tab/>
        <w:t>RAI, CILD, FNSI, and OBCT (2026), written inputs, p. 4, pp. 26 and 28, p. 16, and pp. 15 and 17 respectively; Country visit Italy, RAI, FNSI, Ordine dei Giornalisti, Ossigeno per l’informazione, and OBCT.</w:t>
      </w:r>
    </w:p>
  </w:footnote>
  <w:footnote w:id="121">
    <w:p w14:paraId="17231DE3" w14:textId="77777777" w:rsidR="00490F94" w:rsidRPr="0002081B" w:rsidRDefault="00490F94" w:rsidP="006F4DD2">
      <w:pPr>
        <w:pStyle w:val="FootnoteText"/>
      </w:pPr>
      <w:r w:rsidRPr="0002081B">
        <w:rPr>
          <w:rStyle w:val="FootnoteReference"/>
        </w:rPr>
        <w:footnoteRef/>
      </w:r>
      <w:r w:rsidRPr="0002081B">
        <w:t xml:space="preserve"> </w:t>
      </w:r>
      <w:r w:rsidRPr="0002081B">
        <w:tab/>
        <w:t>RAI (2026), written input</w:t>
      </w:r>
      <w:r>
        <w:t>, p. 4;</w:t>
      </w:r>
      <w:r w:rsidRPr="0002081B">
        <w:t xml:space="preserve"> and RAI (2026</w:t>
      </w:r>
      <w:r>
        <w:t>a</w:t>
      </w:r>
      <w:r w:rsidRPr="0002081B">
        <w:t xml:space="preserve">), additional written input, pp. 3-5; Country visit Italy, RAI. </w:t>
      </w:r>
    </w:p>
  </w:footnote>
  <w:footnote w:id="122">
    <w:p w14:paraId="393E4AC2" w14:textId="77777777" w:rsidR="00490F94" w:rsidRPr="0002081B" w:rsidRDefault="00490F94" w:rsidP="006F4DD2">
      <w:pPr>
        <w:pStyle w:val="FootnoteText"/>
      </w:pPr>
      <w:r w:rsidRPr="0002081B">
        <w:rPr>
          <w:rStyle w:val="FootnoteReference"/>
        </w:rPr>
        <w:footnoteRef/>
      </w:r>
      <w:r w:rsidRPr="0002081B">
        <w:t xml:space="preserve"> </w:t>
      </w:r>
      <w:r w:rsidRPr="0002081B">
        <w:tab/>
      </w:r>
      <w:r w:rsidRPr="0002081B">
        <w:rPr>
          <w:bCs/>
          <w:lang w:eastAsia="fr-FR"/>
        </w:rPr>
        <w:t>Single Fund for Pluralism and Digital Innovation in Information and Publishing</w:t>
      </w:r>
      <w:r>
        <w:rPr>
          <w:bCs/>
          <w:lang w:eastAsia="fr-FR"/>
        </w:rPr>
        <w:t>,</w:t>
      </w:r>
      <w:r w:rsidRPr="0002081B">
        <w:rPr>
          <w:bCs/>
          <w:lang w:eastAsia="fr-FR"/>
        </w:rPr>
        <w:t xml:space="preserve"> </w:t>
      </w:r>
      <w:r w:rsidRPr="00567A1C">
        <w:t>Italian</w:t>
      </w:r>
      <w:r w:rsidRPr="0002081B">
        <w:t xml:space="preserve"> Government (2026), written input, pp. 27-30. </w:t>
      </w:r>
    </w:p>
  </w:footnote>
  <w:footnote w:id="123">
    <w:p w14:paraId="25C6BE48" w14:textId="77777777" w:rsidR="00490F94" w:rsidRPr="0029571C" w:rsidRDefault="00490F94" w:rsidP="006F4DD2">
      <w:pPr>
        <w:pStyle w:val="FootnoteText"/>
        <w:rPr>
          <w:lang w:val="it-IT"/>
        </w:rPr>
      </w:pPr>
      <w:r w:rsidRPr="0002081B">
        <w:rPr>
          <w:rStyle w:val="FootnoteReference"/>
        </w:rPr>
        <w:footnoteRef/>
      </w:r>
      <w:r w:rsidRPr="0002081B">
        <w:tab/>
        <w:t>Some stakeholders indicated the opportunity to re-adjust the Single Fund’s allocation criteria to make the distribution of public resources more efficient, better support innovation and mitigate the challenges of the news desertification affecting local information</w:t>
      </w:r>
      <w:r>
        <w:t>.</w:t>
      </w:r>
      <w:r w:rsidRPr="0002081B">
        <w:t xml:space="preserve"> </w:t>
      </w:r>
      <w:r w:rsidRPr="00D92D10">
        <w:rPr>
          <w:lang w:val="it-IT"/>
        </w:rPr>
        <w:t>Ordine dei Giornalisti (2026), written input p. 2;</w:t>
      </w:r>
      <w:r>
        <w:rPr>
          <w:sz w:val="24"/>
          <w:szCs w:val="22"/>
          <w:lang w:val="it-IT"/>
        </w:rPr>
        <w:t xml:space="preserve"> </w:t>
      </w:r>
      <w:r w:rsidRPr="00A67C1F">
        <w:rPr>
          <w:lang w:val="it-IT"/>
        </w:rPr>
        <w:t xml:space="preserve">2026 </w:t>
      </w:r>
      <w:r w:rsidRPr="0029571C">
        <w:rPr>
          <w:lang w:val="it-IT"/>
        </w:rPr>
        <w:t xml:space="preserve">Media Pluralism Monitor, pp. 32, 41-42, and 50. </w:t>
      </w:r>
    </w:p>
  </w:footnote>
  <w:footnote w:id="124">
    <w:p w14:paraId="547EA6C6" w14:textId="77777777" w:rsidR="00490F94" w:rsidRPr="0002081B" w:rsidRDefault="00490F94" w:rsidP="006F4DD2">
      <w:pPr>
        <w:pStyle w:val="FootnoteText"/>
      </w:pPr>
      <w:r w:rsidRPr="0029571C">
        <w:rPr>
          <w:rStyle w:val="FootnoteReference"/>
        </w:rPr>
        <w:footnoteRef/>
      </w:r>
      <w:r w:rsidRPr="0029571C">
        <w:t xml:space="preserve"> </w:t>
      </w:r>
      <w:r w:rsidRPr="0029571C">
        <w:tab/>
        <w:t>AGCOM (2025), Resolution 251/25/CONS; Italian Government (2026), written input, p. 25; AGCOM (2026), written input, pp. 2-4; Country visit Italy, AGCOM.</w:t>
      </w:r>
    </w:p>
  </w:footnote>
  <w:footnote w:id="125">
    <w:p w14:paraId="19D0D2DF" w14:textId="77777777" w:rsidR="00490F94" w:rsidRPr="0002081B" w:rsidRDefault="00490F94" w:rsidP="006F4DD2">
      <w:pPr>
        <w:pStyle w:val="FootnoteText"/>
      </w:pPr>
      <w:r w:rsidRPr="0002081B">
        <w:rPr>
          <w:rStyle w:val="FootnoteReference"/>
        </w:rPr>
        <w:footnoteRef/>
      </w:r>
      <w:r w:rsidRPr="0002081B">
        <w:t xml:space="preserve"> </w:t>
      </w:r>
      <w:r w:rsidRPr="0002081B">
        <w:tab/>
        <w:t>Confindustria (2026), written input, pp. 1-3; Country visit Italy, Confindustria Radio Televisioni.</w:t>
      </w:r>
    </w:p>
  </w:footnote>
  <w:footnote w:id="126">
    <w:p w14:paraId="7B367FC9" w14:textId="5C96B36F" w:rsidR="00490F94" w:rsidRPr="00BD5769" w:rsidRDefault="00490F94" w:rsidP="006F4DD2">
      <w:pPr>
        <w:pStyle w:val="FootnoteText"/>
      </w:pPr>
      <w:r w:rsidRPr="0002081B">
        <w:rPr>
          <w:rStyle w:val="FootnoteReference"/>
        </w:rPr>
        <w:footnoteRef/>
      </w:r>
      <w:r w:rsidRPr="0002081B">
        <w:t xml:space="preserve"> </w:t>
      </w:r>
      <w:r w:rsidRPr="0002081B">
        <w:rPr>
          <w:bCs/>
        </w:rPr>
        <w:t xml:space="preserve">Italy’s Ministry of Interior is responsible for the protection of persons under serious threats, including journalists. The Ministry can adopt protection measures tailored to the level of risk. </w:t>
      </w:r>
      <w:r>
        <w:rPr>
          <w:bCs/>
        </w:rPr>
        <w:t xml:space="preserve">By June 2026, there were 29 journalists under protective measures in Italy. </w:t>
      </w:r>
      <w:r w:rsidRPr="0002081B">
        <w:rPr>
          <w:bCs/>
        </w:rPr>
        <w:t>In addition, the Specialised Coordination Centre ensures a dedicated institutional arrangement gathering representatives from the Ministry of Interior and from media and journalists’ associations</w:t>
      </w:r>
      <w:r>
        <w:rPr>
          <w:bCs/>
        </w:rPr>
        <w:t>, Italian Government (2026) written input, pp.</w:t>
      </w:r>
      <w:r w:rsidR="002A44E0">
        <w:rPr>
          <w:bCs/>
        </w:rPr>
        <w:t xml:space="preserve"> </w:t>
      </w:r>
      <w:r>
        <w:rPr>
          <w:bCs/>
        </w:rPr>
        <w:t>32-33.</w:t>
      </w:r>
      <w:r w:rsidRPr="0002081B">
        <w:rPr>
          <w:bCs/>
        </w:rPr>
        <w:t xml:space="preserve"> </w:t>
      </w:r>
    </w:p>
  </w:footnote>
  <w:footnote w:id="127">
    <w:p w14:paraId="74D14CDC" w14:textId="77777777" w:rsidR="00490F94" w:rsidRPr="0002081B" w:rsidRDefault="00490F94" w:rsidP="006F4DD2">
      <w:pPr>
        <w:pStyle w:val="FootnoteText"/>
      </w:pPr>
      <w:r w:rsidRPr="0002081B">
        <w:rPr>
          <w:rStyle w:val="FootnoteReference"/>
        </w:rPr>
        <w:footnoteRef/>
      </w:r>
      <w:r w:rsidRPr="0002081B">
        <w:t xml:space="preserve"> </w:t>
      </w:r>
      <w:r w:rsidRPr="0002081B">
        <w:tab/>
        <w:t>Italian Government (2026), written input, p. 33; Country visit Italy, Ministry of Interior.</w:t>
      </w:r>
    </w:p>
  </w:footnote>
  <w:footnote w:id="128">
    <w:p w14:paraId="1C7E8418" w14:textId="77777777" w:rsidR="00490F94" w:rsidRPr="007B6244" w:rsidRDefault="00490F94" w:rsidP="006F4DD2">
      <w:pPr>
        <w:pStyle w:val="FootnoteText"/>
        <w:rPr>
          <w:lang w:val="it-IT"/>
        </w:rPr>
      </w:pPr>
      <w:r w:rsidRPr="0002081B">
        <w:rPr>
          <w:rStyle w:val="FootnoteReference"/>
        </w:rPr>
        <w:footnoteRef/>
      </w:r>
      <w:r w:rsidRPr="007B6244">
        <w:rPr>
          <w:lang w:val="it-IT"/>
        </w:rPr>
        <w:t xml:space="preserve"> </w:t>
      </w:r>
      <w:r w:rsidRPr="007B6244">
        <w:rPr>
          <w:lang w:val="it-IT"/>
        </w:rPr>
        <w:tab/>
        <w:t xml:space="preserve">Ordine dei Giornalisti (2026), written input, p. 18; Country visit Italy, FNSI, Ordine dei Giornalisti, OBCT, and Ossigeno per l’informazione. </w:t>
      </w:r>
    </w:p>
  </w:footnote>
  <w:footnote w:id="129">
    <w:p w14:paraId="3C9E3D0C" w14:textId="77777777" w:rsidR="00490F94" w:rsidRPr="0002081B" w:rsidRDefault="00490F94" w:rsidP="006F4DD2">
      <w:pPr>
        <w:pStyle w:val="FootnoteText"/>
      </w:pPr>
      <w:r w:rsidRPr="0002081B">
        <w:rPr>
          <w:rStyle w:val="FootnoteReference"/>
        </w:rPr>
        <w:footnoteRef/>
      </w:r>
      <w:r w:rsidRPr="0002081B">
        <w:t xml:space="preserve"> </w:t>
      </w:r>
      <w:r w:rsidRPr="0002081B">
        <w:tab/>
        <w:t>Average annual gross earnings for freelancers and journalists with term-contracts amount to EUR</w:t>
      </w:r>
      <w:r>
        <w:t> </w:t>
      </w:r>
      <w:r w:rsidRPr="0002081B">
        <w:t>17</w:t>
      </w:r>
      <w:r>
        <w:t> </w:t>
      </w:r>
      <w:r w:rsidRPr="0002081B">
        <w:t>000 and EUR</w:t>
      </w:r>
      <w:r>
        <w:t> </w:t>
      </w:r>
      <w:r w:rsidRPr="0002081B">
        <w:t>11</w:t>
      </w:r>
      <w:r>
        <w:t> </w:t>
      </w:r>
      <w:r w:rsidRPr="0002081B">
        <w:t>000 respectively, which means less than EUR</w:t>
      </w:r>
      <w:r>
        <w:t> </w:t>
      </w:r>
      <w:r w:rsidRPr="0002081B">
        <w:t>1</w:t>
      </w:r>
      <w:r>
        <w:t> </w:t>
      </w:r>
      <w:r w:rsidRPr="0002081B">
        <w:t>000 net per month</w:t>
      </w:r>
      <w:r>
        <w:t>,</w:t>
      </w:r>
      <w:r w:rsidRPr="0002081B">
        <w:t xml:space="preserve"> undermin</w:t>
      </w:r>
      <w:r>
        <w:t>ing the</w:t>
      </w:r>
      <w:r w:rsidRPr="0002081B">
        <w:t xml:space="preserve"> economic conditions of journalist and mak</w:t>
      </w:r>
      <w:r>
        <w:t>ing</w:t>
      </w:r>
      <w:r w:rsidRPr="0002081B">
        <w:t xml:space="preserve"> them more vulnerable, Ordine dei Giornalisti (2026), written input; Country visit Italy, FNSI.  </w:t>
      </w:r>
    </w:p>
  </w:footnote>
  <w:footnote w:id="130">
    <w:p w14:paraId="1D98D545" w14:textId="77777777" w:rsidR="00490F94" w:rsidRPr="007C4638" w:rsidRDefault="00490F94" w:rsidP="006F4DD2">
      <w:pPr>
        <w:pStyle w:val="FootnoteText"/>
        <w:rPr>
          <w:lang w:val="en-IE"/>
        </w:rPr>
      </w:pPr>
      <w:r>
        <w:rPr>
          <w:rStyle w:val="FootnoteReference"/>
        </w:rPr>
        <w:footnoteRef/>
      </w:r>
      <w:r w:rsidRPr="007C4638">
        <w:rPr>
          <w:lang w:val="en-IE"/>
        </w:rPr>
        <w:t xml:space="preserve"> Strategic Lawsuits Against Public Participation (SLAPP</w:t>
      </w:r>
      <w:r>
        <w:rPr>
          <w:lang w:val="en-IE"/>
        </w:rPr>
        <w:t xml:space="preserve">). </w:t>
      </w:r>
      <w:r w:rsidRPr="0058725B">
        <w:rPr>
          <w:lang w:val="en-IE"/>
        </w:rPr>
        <w:t>FNSI, Ordine dei Giornalisti,</w:t>
      </w:r>
      <w:r w:rsidRPr="007C4638">
        <w:rPr>
          <w:lang w:val="en-IE"/>
        </w:rPr>
        <w:t xml:space="preserve"> </w:t>
      </w:r>
      <w:r w:rsidRPr="0058725B">
        <w:rPr>
          <w:lang w:val="en-IE"/>
        </w:rPr>
        <w:t>Ossi</w:t>
      </w:r>
      <w:r w:rsidRPr="007C4638">
        <w:rPr>
          <w:lang w:val="en-IE"/>
        </w:rPr>
        <w:t>geno per l’Informazione, CILD, OBCT</w:t>
      </w:r>
      <w:r>
        <w:rPr>
          <w:lang w:val="en-IE"/>
        </w:rPr>
        <w:t xml:space="preserve"> (2026)</w:t>
      </w:r>
      <w:r w:rsidRPr="007C4638">
        <w:rPr>
          <w:lang w:val="en-IE"/>
        </w:rPr>
        <w:t>, written inputs,</w:t>
      </w:r>
      <w:r w:rsidRPr="0058725B">
        <w:rPr>
          <w:lang w:val="en-IE"/>
        </w:rPr>
        <w:t xml:space="preserve"> p.</w:t>
      </w:r>
      <w:r>
        <w:rPr>
          <w:lang w:val="en-IE"/>
        </w:rPr>
        <w:t xml:space="preserve"> </w:t>
      </w:r>
      <w:r w:rsidRPr="0058725B">
        <w:rPr>
          <w:lang w:val="en-IE"/>
        </w:rPr>
        <w:t>19, p.</w:t>
      </w:r>
      <w:r>
        <w:rPr>
          <w:lang w:val="en-IE"/>
        </w:rPr>
        <w:t xml:space="preserve"> </w:t>
      </w:r>
      <w:r w:rsidRPr="0058725B">
        <w:rPr>
          <w:lang w:val="en-IE"/>
        </w:rPr>
        <w:t>19, p</w:t>
      </w:r>
      <w:r w:rsidRPr="007C4638">
        <w:rPr>
          <w:lang w:val="en-IE"/>
        </w:rPr>
        <w:t>p</w:t>
      </w:r>
      <w:r w:rsidRPr="0058725B">
        <w:rPr>
          <w:lang w:val="en-IE"/>
        </w:rPr>
        <w:t>.</w:t>
      </w:r>
      <w:r>
        <w:rPr>
          <w:lang w:val="en-IE"/>
        </w:rPr>
        <w:t xml:space="preserve"> </w:t>
      </w:r>
      <w:r w:rsidRPr="007C4638">
        <w:rPr>
          <w:lang w:val="en-IE"/>
        </w:rPr>
        <w:t xml:space="preserve">7 and </w:t>
      </w:r>
      <w:r w:rsidRPr="0058725B">
        <w:rPr>
          <w:lang w:val="en-IE"/>
        </w:rPr>
        <w:t>19,</w:t>
      </w:r>
      <w:r w:rsidRPr="007C4638">
        <w:rPr>
          <w:lang w:val="en-IE"/>
        </w:rPr>
        <w:t xml:space="preserve"> p.</w:t>
      </w:r>
      <w:r>
        <w:rPr>
          <w:lang w:val="en-IE"/>
        </w:rPr>
        <w:t xml:space="preserve"> </w:t>
      </w:r>
      <w:r w:rsidRPr="007C4638">
        <w:rPr>
          <w:lang w:val="en-IE"/>
        </w:rPr>
        <w:t>30, pp. 19-20 respectively; 2025 Rule of Law Report</w:t>
      </w:r>
      <w:r w:rsidRPr="0058725B">
        <w:rPr>
          <w:lang w:val="en-IE"/>
        </w:rPr>
        <w:t>,</w:t>
      </w:r>
      <w:r>
        <w:rPr>
          <w:lang w:val="en-IE"/>
        </w:rPr>
        <w:t xml:space="preserve"> Italy,</w:t>
      </w:r>
      <w:r w:rsidRPr="0058725B">
        <w:rPr>
          <w:lang w:val="en-IE"/>
        </w:rPr>
        <w:t xml:space="preserve"> p.</w:t>
      </w:r>
      <w:r w:rsidRPr="007C4638">
        <w:rPr>
          <w:lang w:val="en-IE"/>
        </w:rPr>
        <w:t>18</w:t>
      </w:r>
      <w:r>
        <w:rPr>
          <w:lang w:val="en-IE"/>
        </w:rPr>
        <w:t>;</w:t>
      </w:r>
      <w:r>
        <w:rPr>
          <w:sz w:val="24"/>
          <w:szCs w:val="22"/>
        </w:rPr>
        <w:t xml:space="preserve"> </w:t>
      </w:r>
      <w:r w:rsidRPr="00344F2D">
        <w:t>2026 Media Pluralism Monitor, pp. 13-15</w:t>
      </w:r>
      <w:r w:rsidRPr="007C4638">
        <w:rPr>
          <w:lang w:val="en-IE"/>
        </w:rPr>
        <w:t>.</w:t>
      </w:r>
      <w:r w:rsidRPr="0058725B">
        <w:rPr>
          <w:lang w:val="en-IE"/>
        </w:rPr>
        <w:t xml:space="preserve"> </w:t>
      </w:r>
      <w:r w:rsidRPr="007C4638">
        <w:rPr>
          <w:lang w:val="en-IE"/>
        </w:rPr>
        <w:t>Stakeholders</w:t>
      </w:r>
      <w:r>
        <w:rPr>
          <w:lang w:val="en-IE"/>
        </w:rPr>
        <w:t xml:space="preserve"> reported</w:t>
      </w:r>
      <w:r w:rsidRPr="007C4638">
        <w:rPr>
          <w:lang w:val="en-IE"/>
        </w:rPr>
        <w:t xml:space="preserve"> that </w:t>
      </w:r>
      <w:r w:rsidRPr="2F149791">
        <w:rPr>
          <w:lang w:val="en-IE"/>
        </w:rPr>
        <w:t>93 cases of SLAPPs affecting journalists were documented in 2025,</w:t>
      </w:r>
      <w:r w:rsidRPr="007C4638">
        <w:rPr>
          <w:lang w:val="en-IE"/>
        </w:rPr>
        <w:t xml:space="preserve"> Ordine dei Giornalisti</w:t>
      </w:r>
      <w:r w:rsidRPr="2F149791">
        <w:rPr>
          <w:lang w:val="en-IE"/>
        </w:rPr>
        <w:t xml:space="preserve"> and Ossigeno per l’informazione</w:t>
      </w:r>
      <w:r>
        <w:rPr>
          <w:lang w:val="en-IE"/>
        </w:rPr>
        <w:t xml:space="preserve"> (2026), </w:t>
      </w:r>
      <w:r w:rsidRPr="007C4638">
        <w:rPr>
          <w:lang w:val="en-IE"/>
        </w:rPr>
        <w:t>written inputs, p. 19</w:t>
      </w:r>
      <w:r w:rsidRPr="2F149791">
        <w:rPr>
          <w:lang w:val="en-IE"/>
        </w:rPr>
        <w:t xml:space="preserve"> and </w:t>
      </w:r>
      <w:r w:rsidRPr="007C4638">
        <w:rPr>
          <w:lang w:val="en-IE"/>
        </w:rPr>
        <w:t>p.</w:t>
      </w:r>
      <w:r>
        <w:rPr>
          <w:lang w:val="en-IE"/>
        </w:rPr>
        <w:t xml:space="preserve"> </w:t>
      </w:r>
      <w:r w:rsidRPr="2F149791">
        <w:rPr>
          <w:lang w:val="en-IE"/>
        </w:rPr>
        <w:t xml:space="preserve">7 respectively. </w:t>
      </w:r>
    </w:p>
  </w:footnote>
  <w:footnote w:id="131">
    <w:p w14:paraId="0B3A7EBA"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FNSI, Ordine dei Giornalisti, CILD, RAI, OBCT, Articolo 21, Reporters Without Borders, Ossigeno per l’informazione </w:t>
      </w:r>
      <w:r>
        <w:t xml:space="preserve">and </w:t>
      </w:r>
      <w:r w:rsidRPr="00D92D10">
        <w:t xml:space="preserve">Civil Society Europe </w:t>
      </w:r>
      <w:r w:rsidRPr="00A35D51">
        <w:t>(2026),</w:t>
      </w:r>
      <w:r w:rsidRPr="0002081B">
        <w:t xml:space="preserve"> written inputs, pp. 17 and 19, p. 15 and 19, p. 30, pp. 9-10, pp. 17-20, p. 17, p. 17, pp. 7 and 18-20</w:t>
      </w:r>
      <w:r>
        <w:t>, and p. 7</w:t>
      </w:r>
      <w:r w:rsidRPr="0002081B">
        <w:t xml:space="preserve"> respectively; Country visit Italy, FNSI, Ordine dei Giornalisti, OBCT, and Ossigeno per l’informazione.</w:t>
      </w:r>
    </w:p>
  </w:footnote>
  <w:footnote w:id="132">
    <w:p w14:paraId="5E1C640F" w14:textId="6936418D" w:rsidR="00490F94" w:rsidRPr="0002081B" w:rsidRDefault="00490F94" w:rsidP="006F4DD2">
      <w:pPr>
        <w:pStyle w:val="FootnoteText"/>
      </w:pPr>
      <w:r w:rsidRPr="0002081B">
        <w:rPr>
          <w:rStyle w:val="FootnoteReference"/>
        </w:rPr>
        <w:footnoteRef/>
      </w:r>
      <w:r w:rsidRPr="0002081B">
        <w:t xml:space="preserve"> </w:t>
      </w:r>
      <w:r w:rsidRPr="0002081B">
        <w:tab/>
      </w:r>
      <w:r w:rsidR="00404715">
        <w:t xml:space="preserve">Article 6 of the </w:t>
      </w:r>
      <w:hyperlink r:id="rId7" w:history="1">
        <w:r w:rsidRPr="00B82EFE">
          <w:rPr>
            <w:rStyle w:val="Hyperlink"/>
          </w:rPr>
          <w:t>European Delegation Law No. 36 of 9 April 2026</w:t>
        </w:r>
      </w:hyperlink>
      <w:r>
        <w:t xml:space="preserve"> provides the required legal basis</w:t>
      </w:r>
      <w:r w:rsidR="000B12B4">
        <w:t xml:space="preserve"> </w:t>
      </w:r>
      <w:r w:rsidR="000B12B4" w:rsidRPr="000B12B4">
        <w:t>for the Government to adopt one or more legislative decrees to transpose into national law the Anti-SLAPP Directive.</w:t>
      </w:r>
      <w:r>
        <w:t>.</w:t>
      </w:r>
    </w:p>
  </w:footnote>
  <w:footnote w:id="133">
    <w:p w14:paraId="20A4FF14" w14:textId="745A6D89" w:rsidR="00F63F84" w:rsidRPr="00867B11" w:rsidRDefault="00F63F84" w:rsidP="00F63F84">
      <w:pPr>
        <w:pStyle w:val="FootnoteText"/>
        <w:rPr>
          <w:lang w:val="en-IE"/>
        </w:rPr>
      </w:pPr>
      <w:r>
        <w:rPr>
          <w:rStyle w:val="FootnoteReference"/>
        </w:rPr>
        <w:footnoteRef/>
      </w:r>
      <w:r>
        <w:rPr>
          <w:lang w:val="en-IE"/>
        </w:rPr>
        <w:tab/>
        <w:t xml:space="preserve">The Government condemned the </w:t>
      </w:r>
      <w:r w:rsidRPr="0028089F">
        <w:rPr>
          <w:lang w:val="en-IE"/>
        </w:rPr>
        <w:t xml:space="preserve">event </w:t>
      </w:r>
      <w:r w:rsidR="00421C29" w:rsidRPr="0028089F">
        <w:rPr>
          <w:lang w:val="en-IE"/>
        </w:rPr>
        <w:t>and</w:t>
      </w:r>
      <w:r w:rsidRPr="0028089F">
        <w:rPr>
          <w:lang w:val="en-IE"/>
        </w:rPr>
        <w:t xml:space="preserve"> ongoing</w:t>
      </w:r>
      <w:r>
        <w:rPr>
          <w:lang w:val="en-IE"/>
        </w:rPr>
        <w:t xml:space="preserve"> investigations indicate the possible involvement of organised crime circles, Italian Government (2026a), additional written input. </w:t>
      </w:r>
    </w:p>
  </w:footnote>
  <w:footnote w:id="134">
    <w:p w14:paraId="02378006" w14:textId="071C397D" w:rsidR="00490F94" w:rsidRPr="0002081B" w:rsidRDefault="00490F94" w:rsidP="006F4DD2">
      <w:pPr>
        <w:pStyle w:val="FootnoteText"/>
      </w:pPr>
      <w:r w:rsidRPr="0002081B">
        <w:rPr>
          <w:rStyle w:val="FootnoteReference"/>
        </w:rPr>
        <w:footnoteRef/>
      </w:r>
      <w:r w:rsidRPr="0002081B">
        <w:t xml:space="preserve"> </w:t>
      </w:r>
      <w:r w:rsidRPr="0002081B">
        <w:tab/>
        <w:t>FNSI, Ordine dei Giornalisti, CILD, RAI, OBCT, Reporters Without Borders, Ossigeno per l’informazione</w:t>
      </w:r>
      <w:r w:rsidRPr="0040781B">
        <w:t xml:space="preserve">, </w:t>
      </w:r>
      <w:r w:rsidRPr="00D92D10">
        <w:t>Civil Society Europe</w:t>
      </w:r>
      <w:r w:rsidRPr="00A35D51">
        <w:t xml:space="preserve"> (2026),</w:t>
      </w:r>
      <w:r w:rsidRPr="0002081B">
        <w:t xml:space="preserve"> written inputs, p. 17, p. 15, p. 30, p. 8, p. 18, p. 17, p. 7,</w:t>
      </w:r>
      <w:r>
        <w:t xml:space="preserve"> and p. 7</w:t>
      </w:r>
      <w:r w:rsidRPr="0002081B">
        <w:t xml:space="preserve"> respectively</w:t>
      </w:r>
      <w:r>
        <w:t>.</w:t>
      </w:r>
      <w:r w:rsidRPr="0002081B">
        <w:t xml:space="preserve"> </w:t>
      </w:r>
      <w:r w:rsidRPr="009556A2">
        <w:t>The</w:t>
      </w:r>
      <w:r w:rsidRPr="0002081B">
        <w:t xml:space="preserve"> </w:t>
      </w:r>
      <w:r w:rsidRPr="009556A2">
        <w:t>MPM 2026 considers the indicator for journalistic profession, standards and protection to be at medium-high risk in view of this deterioration trend over journalist’s safety environment,</w:t>
      </w:r>
      <w:r>
        <w:t xml:space="preserve"> </w:t>
      </w:r>
      <w:r w:rsidRPr="003435FB">
        <w:t>2026 Media Pluralism Monitor, p.</w:t>
      </w:r>
      <w:r w:rsidR="00D71926">
        <w:t xml:space="preserve"> </w:t>
      </w:r>
      <w:r w:rsidRPr="003435FB">
        <w:t>19</w:t>
      </w:r>
      <w:r w:rsidRPr="001751A3">
        <w:t>.</w:t>
      </w:r>
    </w:p>
  </w:footnote>
  <w:footnote w:id="135">
    <w:p w14:paraId="2637213A" w14:textId="5246B127" w:rsidR="00490F94" w:rsidRPr="0002081B" w:rsidRDefault="00490F94" w:rsidP="006F4DD2">
      <w:pPr>
        <w:pStyle w:val="FootnoteText"/>
      </w:pPr>
      <w:r w:rsidRPr="0002081B">
        <w:rPr>
          <w:rStyle w:val="FootnoteReference"/>
        </w:rPr>
        <w:footnoteRef/>
      </w:r>
      <w:r w:rsidRPr="0002081B">
        <w:t xml:space="preserve"> </w:t>
      </w:r>
      <w:r w:rsidRPr="0002081B">
        <w:tab/>
        <w:t>2025 Rule of Law Report, Italy, pp. 17-18.</w:t>
      </w:r>
      <w:r>
        <w:t xml:space="preserve"> </w:t>
      </w:r>
      <w:r w:rsidRPr="00385AD4">
        <w:t>On 5 March 2026, the Rome and Naples Prosecutor</w:t>
      </w:r>
      <w:r>
        <w:t>’s</w:t>
      </w:r>
      <w:r w:rsidRPr="00385AD4">
        <w:t xml:space="preserve"> Offices indicated that, following forensic analysis carried out on the personal devices of the concerned journalists, no evidence of operations </w:t>
      </w:r>
      <w:r>
        <w:t xml:space="preserve">by the </w:t>
      </w:r>
      <w:r w:rsidRPr="00385AD4">
        <w:t xml:space="preserve">Italian intelligence services targeting journalists through the spyware was found. </w:t>
      </w:r>
      <w:r>
        <w:t>However,</w:t>
      </w:r>
      <w:r w:rsidRPr="00385AD4">
        <w:t xml:space="preserve"> the forensic analysis confirmed that one journalist was hacked by spyware, </w:t>
      </w:r>
      <w:r>
        <w:t xml:space="preserve">and </w:t>
      </w:r>
      <w:r w:rsidRPr="00385AD4">
        <w:t>investigations to identify the perpetrators</w:t>
      </w:r>
      <w:r>
        <w:t xml:space="preserve"> should continue.</w:t>
      </w:r>
      <w:r w:rsidRPr="00385AD4">
        <w:t xml:space="preserve"> Italian Government (2026a), additional written inputs, pp. 1-4.</w:t>
      </w:r>
      <w:r>
        <w:rPr>
          <w:lang w:val="en-IE" w:eastAsia="fr-FR"/>
        </w:rPr>
        <w:t xml:space="preserve"> See also input from various stakeholders, </w:t>
      </w:r>
      <w:r w:rsidRPr="006F0ABB">
        <w:t>FNSI, Ordine dei Giornalisti, CILD, OBCT, Articolo 21, Reporters Without Borders, and Ossigeno per l’informazione (2026), written inputs, p.</w:t>
      </w:r>
      <w:r w:rsidR="00445A27">
        <w:t xml:space="preserve"> </w:t>
      </w:r>
      <w:r w:rsidRPr="006F0ABB">
        <w:t>17, p. 18, p. 31, pp. </w:t>
      </w:r>
      <w:r w:rsidRPr="00D92D10">
        <w:rPr>
          <w:lang w:val="en-IE"/>
        </w:rPr>
        <w:t>20-21, p. 16, p. 16, and p. 20 respectively; Country visit Italy, FNSI, Ordine dei Giornalisti, OBCT, and Ossigeno per l’informazione.</w:t>
      </w:r>
    </w:p>
  </w:footnote>
  <w:footnote w:id="136">
    <w:p w14:paraId="2C0266A5" w14:textId="77777777" w:rsidR="00490F94" w:rsidRPr="00D71250" w:rsidRDefault="00490F94" w:rsidP="006F4DD2">
      <w:pPr>
        <w:pStyle w:val="FootnoteText"/>
        <w:rPr>
          <w:lang w:val="it-IT"/>
        </w:rPr>
      </w:pPr>
      <w:r w:rsidRPr="0002081B">
        <w:rPr>
          <w:rStyle w:val="FootnoteReference"/>
        </w:rPr>
        <w:footnoteRef/>
      </w:r>
      <w:r w:rsidRPr="00D71250">
        <w:rPr>
          <w:lang w:val="it-IT"/>
        </w:rPr>
        <w:t xml:space="preserve"> </w:t>
      </w:r>
      <w:r w:rsidRPr="00D71250">
        <w:rPr>
          <w:lang w:val="it-IT"/>
        </w:rPr>
        <w:tab/>
        <w:t>FNSI, Ordine dei Giornalisti, and Articolo 21 (2026), written inputs, p. 18, p. 19, p. 6;</w:t>
      </w:r>
      <w:r w:rsidRPr="00D71250">
        <w:rPr>
          <w:sz w:val="24"/>
          <w:szCs w:val="22"/>
          <w:lang w:val="it-IT"/>
        </w:rPr>
        <w:t xml:space="preserve"> </w:t>
      </w:r>
      <w:r w:rsidRPr="00D71250">
        <w:rPr>
          <w:lang w:val="it-IT"/>
        </w:rPr>
        <w:t xml:space="preserve">2026 Media Pluralism Monitor, p. 18; Country Visit Italy, FNSI and Ordine dei Giornalisti. </w:t>
      </w:r>
    </w:p>
  </w:footnote>
  <w:footnote w:id="137">
    <w:p w14:paraId="732897BD"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Italy has responded to </w:t>
      </w:r>
      <w:r>
        <w:t>13</w:t>
      </w:r>
      <w:r w:rsidRPr="0002081B">
        <w:t xml:space="preserve"> of the </w:t>
      </w:r>
      <w:r>
        <w:t>20</w:t>
      </w:r>
      <w:r w:rsidRPr="0002081B">
        <w:t xml:space="preserve"> alerts, </w:t>
      </w:r>
      <w:bookmarkStart w:id="19" w:name="_Hlk222908115"/>
      <w:r w:rsidRPr="0002081B">
        <w:t>Council of Europe, Platform to promote the protection of journalism and safety of journalists, Italy.</w:t>
      </w:r>
      <w:bookmarkEnd w:id="19"/>
    </w:p>
  </w:footnote>
  <w:footnote w:id="138">
    <w:p w14:paraId="775218A8" w14:textId="125568F5" w:rsidR="00490F94" w:rsidRPr="0002081B" w:rsidRDefault="00490F94" w:rsidP="006F4DD2">
      <w:pPr>
        <w:pStyle w:val="FootnoteText"/>
      </w:pPr>
      <w:r w:rsidRPr="0002081B">
        <w:rPr>
          <w:rStyle w:val="FootnoteReference"/>
        </w:rPr>
        <w:footnoteRef/>
      </w:r>
      <w:r w:rsidRPr="0002081B">
        <w:t xml:space="preserve"> </w:t>
      </w:r>
      <w:r w:rsidRPr="0002081B">
        <w:tab/>
        <w:t xml:space="preserve">In particular, regarding the </w:t>
      </w:r>
      <w:r w:rsidR="00075523">
        <w:t>92</w:t>
      </w:r>
      <w:r w:rsidRPr="0002081B">
        <w:t xml:space="preserve"> incidents related to different forms of attacks on journalists, 1</w:t>
      </w:r>
      <w:r w:rsidR="00075523">
        <w:t>8</w:t>
      </w:r>
      <w:r w:rsidRPr="0002081B">
        <w:t xml:space="preserve"> instances related to cases of physical attacks, </w:t>
      </w:r>
      <w:r>
        <w:t>2</w:t>
      </w:r>
      <w:r w:rsidR="00075523">
        <w:t>2</w:t>
      </w:r>
      <w:r w:rsidRPr="0002081B">
        <w:t xml:space="preserve"> instances related to cases of attacks to property, and </w:t>
      </w:r>
      <w:r w:rsidR="00075523">
        <w:t>52</w:t>
      </w:r>
      <w:r w:rsidRPr="0002081B">
        <w:t xml:space="preserve"> related to cases of verbal attacks. Concerning other types of incidents, there were 2</w:t>
      </w:r>
      <w:r>
        <w:t>9</w:t>
      </w:r>
      <w:r w:rsidRPr="0002081B">
        <w:t xml:space="preserve"> reported instances related to cases of interference with journalists’ activities</w:t>
      </w:r>
      <w:r>
        <w:t>.</w:t>
      </w:r>
      <w:r w:rsidRPr="0002081B">
        <w:t xml:space="preserve"> </w:t>
      </w:r>
      <w:bookmarkStart w:id="20" w:name="_Hlk222908918"/>
      <w:r w:rsidRPr="0002081B">
        <w:t>Mapping Media Freedom, Italy country profile.</w:t>
      </w:r>
    </w:p>
    <w:bookmarkEnd w:id="20"/>
  </w:footnote>
  <w:footnote w:id="139">
    <w:p w14:paraId="2388CD8F" w14:textId="77777777" w:rsidR="00490F94" w:rsidRPr="0002081B" w:rsidRDefault="00490F94" w:rsidP="006F4DD2">
      <w:pPr>
        <w:pStyle w:val="FootnoteText"/>
      </w:pPr>
      <w:r w:rsidRPr="0002081B">
        <w:rPr>
          <w:rStyle w:val="FootnoteReference"/>
        </w:rPr>
        <w:footnoteRef/>
      </w:r>
      <w:r w:rsidRPr="0002081B">
        <w:t xml:space="preserve"> </w:t>
      </w:r>
      <w:r w:rsidRPr="0002081B">
        <w:tab/>
        <w:t>Out of the 81 cases registered, 19.4% concerned organised crime and 29% were of ‘political-social nature’, while 31 out of 81 cases (38.3%) occurred online</w:t>
      </w:r>
      <w:r>
        <w:t>.</w:t>
      </w:r>
      <w:r w:rsidRPr="0002081B">
        <w:t xml:space="preserve"> Ministry of Interior (2025), p. 5. Monitoring activities carried out by an Italian CSO which, unlike the Specialised Centre, also take into account cases of threats and intimidations for which charges were not filed to competent authorities, report 361 cases of threats or other forms of intimidations against journalists in the first half of 2025, suggesting a tendency where only one out of six journalists press charges</w:t>
      </w:r>
      <w:r>
        <w:t>.</w:t>
      </w:r>
      <w:r w:rsidRPr="0002081B">
        <w:t xml:space="preserve"> Ossigeno per l’informazione (2026), written input, p. 7.</w:t>
      </w:r>
    </w:p>
  </w:footnote>
  <w:footnote w:id="140">
    <w:p w14:paraId="5242A969" w14:textId="77777777" w:rsidR="00490F94" w:rsidRPr="0002081B" w:rsidRDefault="00490F94" w:rsidP="006F4DD2">
      <w:pPr>
        <w:pStyle w:val="FootnoteText"/>
      </w:pPr>
      <w:r w:rsidRPr="0002081B">
        <w:rPr>
          <w:rStyle w:val="FootnoteReference"/>
        </w:rPr>
        <w:footnoteRef/>
      </w:r>
      <w:r w:rsidRPr="0002081B">
        <w:t xml:space="preserve"> </w:t>
      </w:r>
      <w:r w:rsidRPr="0002081B">
        <w:tab/>
        <w:t xml:space="preserve">This initiative </w:t>
      </w:r>
      <w:r>
        <w:t>provides for</w:t>
      </w:r>
      <w:r w:rsidRPr="0002081B">
        <w:t xml:space="preserve"> tighte</w:t>
      </w:r>
      <w:r>
        <w:t>r</w:t>
      </w:r>
      <w:r w:rsidRPr="0002081B">
        <w:t xml:space="preserve"> criminal sanctions for certain crimes, such as those against life or personal safety, when they are committed against journalists</w:t>
      </w:r>
      <w:r>
        <w:t>.</w:t>
      </w:r>
      <w:r w:rsidRPr="0002081B">
        <w:t xml:space="preserve"> Country visit Italy, Ministry of Interior;</w:t>
      </w:r>
      <w:r>
        <w:t xml:space="preserve"> Council of Ministers (2026)</w:t>
      </w:r>
      <w:r w:rsidRPr="0002081B">
        <w:t>.</w:t>
      </w:r>
      <w:r>
        <w:t xml:space="preserve"> </w:t>
      </w:r>
    </w:p>
  </w:footnote>
  <w:footnote w:id="141">
    <w:p w14:paraId="6269FF67" w14:textId="77777777" w:rsidR="00490F94" w:rsidRPr="007B6244" w:rsidRDefault="00490F94" w:rsidP="006F4DD2">
      <w:pPr>
        <w:pStyle w:val="FootnoteText"/>
        <w:rPr>
          <w:lang w:val="it-IT"/>
        </w:rPr>
      </w:pPr>
      <w:r w:rsidRPr="0002081B">
        <w:rPr>
          <w:rStyle w:val="FootnoteReference"/>
        </w:rPr>
        <w:footnoteRef/>
      </w:r>
      <w:r w:rsidRPr="0002081B">
        <w:t xml:space="preserve"> </w:t>
      </w:r>
      <w:r w:rsidRPr="0002081B">
        <w:tab/>
      </w:r>
      <w:r w:rsidRPr="0002081B">
        <w:rPr>
          <w:bCs/>
        </w:rPr>
        <w:t xml:space="preserve">The draft amendments would only protect professional journalists who are members of the national order. Stakeholders ask to extend protection to all media professionals and news crew members including sound engineers, photographers or cameramen. </w:t>
      </w:r>
      <w:r w:rsidRPr="007B6244">
        <w:rPr>
          <w:lang w:val="it-IT"/>
        </w:rPr>
        <w:t xml:space="preserve">Ordine dei Giornalisti and FNSI (2026), </w:t>
      </w:r>
      <w:r>
        <w:rPr>
          <w:lang w:val="it-IT"/>
        </w:rPr>
        <w:t xml:space="preserve">written inputs, </w:t>
      </w:r>
      <w:r w:rsidRPr="007B6244">
        <w:rPr>
          <w:lang w:val="it-IT"/>
        </w:rPr>
        <w:t>p.</w:t>
      </w:r>
      <w:r>
        <w:rPr>
          <w:lang w:val="it-IT"/>
        </w:rPr>
        <w:t> </w:t>
      </w:r>
      <w:r w:rsidRPr="007B6244">
        <w:rPr>
          <w:lang w:val="it-IT"/>
        </w:rPr>
        <w:t>1 and p.</w:t>
      </w:r>
      <w:r>
        <w:rPr>
          <w:lang w:val="it-IT"/>
        </w:rPr>
        <w:t> </w:t>
      </w:r>
      <w:r w:rsidRPr="007B6244">
        <w:rPr>
          <w:lang w:val="it-IT"/>
        </w:rPr>
        <w:t>1, respectively. Country visit Italy, Ordine dei Giornalisti, FNSI, Ossigeno per l’informazione, and OBCT.</w:t>
      </w:r>
    </w:p>
  </w:footnote>
  <w:footnote w:id="142">
    <w:p w14:paraId="1777FF97" w14:textId="77777777" w:rsidR="00490F94" w:rsidRPr="0002081B" w:rsidRDefault="00490F94" w:rsidP="006F4DD2">
      <w:pPr>
        <w:pStyle w:val="FootnoteText"/>
      </w:pPr>
      <w:r w:rsidRPr="0002081B">
        <w:rPr>
          <w:rStyle w:val="FootnoteReference"/>
        </w:rPr>
        <w:footnoteRef/>
      </w:r>
      <w:r w:rsidRPr="0002081B">
        <w:t xml:space="preserve"> </w:t>
      </w:r>
      <w:r w:rsidRPr="0002081B">
        <w:tab/>
        <w:t>The 2025 Rule of Law Report recommended Italy to “[c]ontinue the ongoing legislative process on the draft reform on defamation, the protection of professional secrecy and journalistic sources while avoiding any risk of negative impacts on press freedom and ensure it takes into account European standards on the protection of journalists”. No progress was previously assessed on this recommendation in 2025 and 2024, and some progress in 2023.</w:t>
      </w:r>
    </w:p>
  </w:footnote>
  <w:footnote w:id="143">
    <w:p w14:paraId="71951048" w14:textId="77777777" w:rsidR="00490F94" w:rsidRPr="0002081B" w:rsidRDefault="00490F94" w:rsidP="006F4DD2">
      <w:pPr>
        <w:pStyle w:val="FootnoteText"/>
      </w:pPr>
      <w:r w:rsidRPr="0002081B">
        <w:rPr>
          <w:rStyle w:val="FootnoteReference"/>
        </w:rPr>
        <w:footnoteRef/>
      </w:r>
      <w:r w:rsidRPr="0002081B">
        <w:t xml:space="preserve"> </w:t>
      </w:r>
      <w:r w:rsidRPr="0002081B">
        <w:tab/>
        <w:t>Italian Government (2026), written input, p. 4 and p. 27; Ordine dei Giornalisti, Ossigeno per l’informazione, FNSI, Articolo 21, OBCT, and CILD (2026) written inputs, pp.14-15, pp.</w:t>
      </w:r>
      <w:r>
        <w:t xml:space="preserve"> </w:t>
      </w:r>
      <w:r w:rsidRPr="0002081B">
        <w:t>19-20, p.</w:t>
      </w:r>
      <w:r>
        <w:t xml:space="preserve"> </w:t>
      </w:r>
      <w:r w:rsidRPr="0002081B">
        <w:t>18, p.</w:t>
      </w:r>
      <w:r>
        <w:t xml:space="preserve"> </w:t>
      </w:r>
      <w:r w:rsidRPr="0002081B">
        <w:t xml:space="preserve">6, </w:t>
      </w:r>
      <w:r w:rsidRPr="003435FB">
        <w:t xml:space="preserve">p. 15, and p. 26 respectively; 2025 Rule of Law Report, Italy, p. 18; </w:t>
      </w:r>
      <w:r w:rsidRPr="0002081B">
        <w:t xml:space="preserve">Country visit Italy, Ordine dei Giornalisti, FNSI, Ossigeno per l’informazione, and OBCT.  </w:t>
      </w:r>
    </w:p>
  </w:footnote>
  <w:footnote w:id="144">
    <w:p w14:paraId="7E9E7E7B" w14:textId="77777777" w:rsidR="00490F94" w:rsidRPr="0002081B" w:rsidRDefault="00490F94" w:rsidP="006F4DD2">
      <w:pPr>
        <w:pStyle w:val="FootnoteText"/>
      </w:pPr>
      <w:r w:rsidRPr="0002081B">
        <w:rPr>
          <w:rStyle w:val="FootnoteReference"/>
        </w:rPr>
        <w:footnoteRef/>
      </w:r>
      <w:r w:rsidRPr="00DA72E7">
        <w:t xml:space="preserve"> </w:t>
      </w:r>
      <w:r w:rsidRPr="00DA72E7">
        <w:tab/>
        <w:t xml:space="preserve">Ossigeno per l’informazione, FNSI, Articolo 21, OBCT, and CILD (2026), written inputs, pp. 19-20, p.18, p.6, p.15, and p. 26 respectively;2026 Media Pluralism Monitor, p. 13; Country visit Italy, Ordine dei Giornalisti, FNSI, Ossigeno per l’informazione, and OBCT. </w:t>
      </w:r>
      <w:r w:rsidRPr="0002081B">
        <w:t>In particular it was mentioned the chilling effect related to the risk, envisaged under the proposed draft, for journalists to be fined up to EUR 50</w:t>
      </w:r>
      <w:r>
        <w:t> </w:t>
      </w:r>
      <w:r w:rsidRPr="0002081B">
        <w:t>000, taking into account the</w:t>
      </w:r>
      <w:r>
        <w:t>ir</w:t>
      </w:r>
      <w:r w:rsidRPr="0002081B">
        <w:t xml:space="preserve"> precarious working conditions and economic vulnerability</w:t>
      </w:r>
      <w:r>
        <w:t>.</w:t>
      </w:r>
      <w:r w:rsidRPr="0002081B">
        <w:t xml:space="preserve"> FNSI and Ordine dei Giornalisti (2026), written inputs, p.</w:t>
      </w:r>
      <w:r>
        <w:t xml:space="preserve"> </w:t>
      </w:r>
      <w:r w:rsidRPr="0002081B">
        <w:t>20 and p.</w:t>
      </w:r>
      <w:r>
        <w:t xml:space="preserve"> </w:t>
      </w:r>
      <w:r w:rsidRPr="0002081B">
        <w:t xml:space="preserve">18 respectively; Country visit Italy, FNSI. </w:t>
      </w:r>
    </w:p>
  </w:footnote>
  <w:footnote w:id="145">
    <w:p w14:paraId="21673D48" w14:textId="77777777" w:rsidR="00490F94" w:rsidRPr="0002081B" w:rsidRDefault="00490F94" w:rsidP="006F4DD2">
      <w:pPr>
        <w:pStyle w:val="FootnoteText"/>
        <w:rPr>
          <w:color w:val="000000" w:themeColor="text1"/>
        </w:rPr>
      </w:pPr>
      <w:r w:rsidRPr="0002081B">
        <w:rPr>
          <w:rStyle w:val="FootnoteReference"/>
          <w:color w:val="000000" w:themeColor="text1"/>
        </w:rPr>
        <w:footnoteRef/>
      </w:r>
      <w:r w:rsidRPr="0002081B">
        <w:rPr>
          <w:color w:val="000000" w:themeColor="text1"/>
        </w:rPr>
        <w:t xml:space="preserve"> </w:t>
      </w:r>
      <w:r w:rsidRPr="0002081B">
        <w:rPr>
          <w:color w:val="000000" w:themeColor="text1"/>
        </w:rPr>
        <w:tab/>
        <w:t xml:space="preserve">Draft Law </w:t>
      </w:r>
      <w:hyperlink r:id="rId8" w:history="1">
        <w:r w:rsidRPr="0002081B">
          <w:rPr>
            <w:rStyle w:val="Hyperlink"/>
          </w:rPr>
          <w:t>A</w:t>
        </w:r>
        <w:r>
          <w:rPr>
            <w:rStyle w:val="Hyperlink"/>
          </w:rPr>
          <w:t>.</w:t>
        </w:r>
        <w:r w:rsidRPr="0002081B">
          <w:rPr>
            <w:rStyle w:val="Hyperlink"/>
          </w:rPr>
          <w:t>C</w:t>
        </w:r>
        <w:r>
          <w:rPr>
            <w:rStyle w:val="Hyperlink"/>
          </w:rPr>
          <w:t>.</w:t>
        </w:r>
        <w:r w:rsidRPr="0002081B">
          <w:rPr>
            <w:rStyle w:val="Hyperlink"/>
          </w:rPr>
          <w:t xml:space="preserve"> 1921</w:t>
        </w:r>
      </w:hyperlink>
      <w:r w:rsidRPr="0002081B">
        <w:rPr>
          <w:color w:val="000000" w:themeColor="text1"/>
        </w:rPr>
        <w:t>.</w:t>
      </w:r>
    </w:p>
  </w:footnote>
  <w:footnote w:id="146">
    <w:p w14:paraId="10A6ABBB" w14:textId="77777777" w:rsidR="00490F94" w:rsidRPr="0002081B" w:rsidRDefault="00490F94" w:rsidP="006F4DD2">
      <w:pPr>
        <w:pStyle w:val="FootnoteText"/>
      </w:pPr>
      <w:r w:rsidRPr="0002081B">
        <w:rPr>
          <w:rStyle w:val="FootnoteReference"/>
          <w:color w:val="000000" w:themeColor="text1"/>
        </w:rPr>
        <w:footnoteRef/>
      </w:r>
      <w:r w:rsidRPr="0002081B">
        <w:rPr>
          <w:color w:val="000000" w:themeColor="text1"/>
        </w:rPr>
        <w:t xml:space="preserve"> </w:t>
      </w:r>
      <w:r w:rsidRPr="0002081B">
        <w:rPr>
          <w:color w:val="000000" w:themeColor="text1"/>
        </w:rPr>
        <w:tab/>
      </w:r>
      <w:r w:rsidRPr="0002081B">
        <w:t>Country visit Italy, Italian Government</w:t>
      </w:r>
      <w:r>
        <w:t>.</w:t>
      </w:r>
    </w:p>
  </w:footnote>
  <w:footnote w:id="147">
    <w:p w14:paraId="6516DDBA" w14:textId="695D0833" w:rsidR="00490F94" w:rsidRPr="00AD700E" w:rsidRDefault="00490F94" w:rsidP="006F4DD2">
      <w:pPr>
        <w:pStyle w:val="FootnoteText"/>
      </w:pPr>
      <w:r w:rsidRPr="0002081B">
        <w:rPr>
          <w:rStyle w:val="FootnoteReference"/>
          <w:color w:val="000000" w:themeColor="text1"/>
        </w:rPr>
        <w:footnoteRef/>
      </w:r>
      <w:r w:rsidRPr="0002081B">
        <w:rPr>
          <w:color w:val="000000" w:themeColor="text1"/>
        </w:rPr>
        <w:t xml:space="preserve"> </w:t>
      </w:r>
      <w:r w:rsidRPr="0002081B">
        <w:rPr>
          <w:color w:val="000000" w:themeColor="text1"/>
        </w:rPr>
        <w:tab/>
      </w:r>
      <w:r w:rsidRPr="00E4199F">
        <w:t>MEDEL (2026), written input, p. 21.</w:t>
      </w:r>
      <w:r w:rsidR="00E32212">
        <w:t xml:space="preserve"> </w:t>
      </w:r>
      <w:r w:rsidR="009936F9" w:rsidRPr="00AD700E">
        <w:t xml:space="preserve">Two </w:t>
      </w:r>
      <w:r w:rsidR="009936F9" w:rsidRPr="002F2DB6">
        <w:t>Italian</w:t>
      </w:r>
      <w:r w:rsidR="009936F9" w:rsidRPr="00AD700E">
        <w:t xml:space="preserve"> judicial associations (</w:t>
      </w:r>
      <w:r w:rsidR="009936F9" w:rsidRPr="0028089F">
        <w:rPr>
          <w:i/>
          <w:iCs/>
        </w:rPr>
        <w:t xml:space="preserve">Magistratura Democratica, </w:t>
      </w:r>
      <w:r w:rsidR="00475CCB" w:rsidRPr="0028089F">
        <w:rPr>
          <w:i/>
          <w:iCs/>
        </w:rPr>
        <w:t>Area Democratica per la Giustizia</w:t>
      </w:r>
      <w:r w:rsidR="009936F9" w:rsidRPr="00AD700E">
        <w:t>) are members of MEDEL</w:t>
      </w:r>
      <w:r w:rsidR="00E4199F" w:rsidRPr="002F2DB6">
        <w:t>.</w:t>
      </w:r>
      <w:r w:rsidR="00D74B6F" w:rsidRPr="002F2DB6">
        <w:t xml:space="preserve"> </w:t>
      </w:r>
      <w:r w:rsidR="00256D65">
        <w:rPr>
          <w:lang w:val="en-IE"/>
        </w:rPr>
        <w:t xml:space="preserve">Morrone (2025). </w:t>
      </w:r>
      <w:r w:rsidR="00676CF2">
        <w:rPr>
          <w:lang w:val="en-IE"/>
        </w:rPr>
        <w:t>S</w:t>
      </w:r>
      <w:r w:rsidR="00676CF2" w:rsidRPr="001059C5">
        <w:rPr>
          <w:lang w:val="en-IE"/>
        </w:rPr>
        <w:t xml:space="preserve">ee </w:t>
      </w:r>
      <w:r w:rsidR="00676CF2">
        <w:rPr>
          <w:lang w:val="en-IE"/>
        </w:rPr>
        <w:t>a</w:t>
      </w:r>
      <w:r w:rsidR="00D74B6F" w:rsidRPr="002F2DB6">
        <w:rPr>
          <w:lang w:val="en-IE"/>
        </w:rPr>
        <w:t>lso 2025 Rule of Law Report, Italy, p. 18.</w:t>
      </w:r>
    </w:p>
  </w:footnote>
  <w:footnote w:id="148">
    <w:p w14:paraId="39451CA3" w14:textId="77777777" w:rsidR="00490F94" w:rsidRPr="0002081B" w:rsidRDefault="00490F94" w:rsidP="006F4DD2">
      <w:pPr>
        <w:pStyle w:val="FootnoteText"/>
      </w:pPr>
      <w:r w:rsidRPr="0002081B">
        <w:rPr>
          <w:rStyle w:val="FootnoteReference"/>
        </w:rPr>
        <w:footnoteRef/>
      </w:r>
      <w:r w:rsidRPr="0002081B">
        <w:t xml:space="preserve"> </w:t>
      </w:r>
      <w:r w:rsidRPr="0002081B">
        <w:tab/>
      </w:r>
      <w:r>
        <w:t xml:space="preserve">Chamber of Deputies (2026a), </w:t>
      </w:r>
      <w:r w:rsidRPr="00E6669D">
        <w:t>Senate of the Republic (2026)</w:t>
      </w:r>
      <w:r>
        <w:t xml:space="preserve">. </w:t>
      </w:r>
    </w:p>
  </w:footnote>
  <w:footnote w:id="149">
    <w:p w14:paraId="2B685A8E" w14:textId="77777777" w:rsidR="00490F94" w:rsidRPr="0002081B" w:rsidRDefault="00490F94" w:rsidP="006F4DD2">
      <w:pPr>
        <w:pStyle w:val="FootnoteText"/>
      </w:pPr>
      <w:r w:rsidRPr="0002081B">
        <w:rPr>
          <w:rStyle w:val="FootnoteReference"/>
        </w:rPr>
        <w:footnoteRef/>
      </w:r>
      <w:r w:rsidRPr="0002081B">
        <w:t xml:space="preserve"> </w:t>
      </w:r>
      <w:r w:rsidRPr="0002081B">
        <w:tab/>
        <w:t>Country visit Italy, ARCI, CILD</w:t>
      </w:r>
      <w:r>
        <w:t xml:space="preserve"> and</w:t>
      </w:r>
      <w:r w:rsidRPr="0002081B">
        <w:t xml:space="preserve"> Emergency.</w:t>
      </w:r>
    </w:p>
  </w:footnote>
  <w:footnote w:id="150">
    <w:p w14:paraId="5D66BC0C" w14:textId="77777777" w:rsidR="00490F94" w:rsidRPr="0002081B" w:rsidRDefault="00490F94" w:rsidP="006F4DD2">
      <w:pPr>
        <w:pStyle w:val="FootnoteText"/>
      </w:pPr>
      <w:r w:rsidRPr="0002081B">
        <w:rPr>
          <w:rStyle w:val="FootnoteReference"/>
        </w:rPr>
        <w:footnoteRef/>
      </w:r>
      <w:r w:rsidRPr="0002081B">
        <w:t xml:space="preserve"> </w:t>
      </w:r>
      <w:r w:rsidRPr="0002081B">
        <w:tab/>
        <w:t>Civil Liberties (2026), written input, p. 33.</w:t>
      </w:r>
    </w:p>
  </w:footnote>
  <w:footnote w:id="151">
    <w:p w14:paraId="4948F69E" w14:textId="77777777" w:rsidR="00490F94" w:rsidRPr="007B6244" w:rsidRDefault="00490F94" w:rsidP="006F4DD2">
      <w:pPr>
        <w:pStyle w:val="FootnoteText"/>
        <w:rPr>
          <w:lang w:val="it-IT"/>
        </w:rPr>
      </w:pPr>
      <w:r w:rsidRPr="0002081B">
        <w:rPr>
          <w:rStyle w:val="FootnoteReference"/>
        </w:rPr>
        <w:footnoteRef/>
      </w:r>
      <w:r w:rsidRPr="007B6244">
        <w:rPr>
          <w:lang w:val="it-IT"/>
        </w:rPr>
        <w:t xml:space="preserve"> </w:t>
      </w:r>
      <w:r w:rsidRPr="007B6244">
        <w:rPr>
          <w:lang w:val="it-IT"/>
        </w:rPr>
        <w:tab/>
        <w:t>Country visit Italy, Antigone</w:t>
      </w:r>
      <w:r>
        <w:rPr>
          <w:lang w:val="it-IT"/>
        </w:rPr>
        <w:t xml:space="preserve"> and</w:t>
      </w:r>
      <w:r w:rsidRPr="007B6244">
        <w:rPr>
          <w:lang w:val="it-IT"/>
        </w:rPr>
        <w:t xml:space="preserve"> Unione Forense per la Tutela dei Diritti Umani.</w:t>
      </w:r>
    </w:p>
  </w:footnote>
  <w:footnote w:id="152">
    <w:p w14:paraId="0F29F892" w14:textId="77777777" w:rsidR="00490F94" w:rsidRPr="007C4638" w:rsidRDefault="00490F94" w:rsidP="006F4DD2">
      <w:pPr>
        <w:pStyle w:val="FootnoteText"/>
        <w:rPr>
          <w:lang w:val="en-IE"/>
        </w:rPr>
      </w:pPr>
      <w:r w:rsidRPr="0002081B">
        <w:rPr>
          <w:rStyle w:val="FootnoteReference"/>
        </w:rPr>
        <w:footnoteRef/>
      </w:r>
      <w:r w:rsidRPr="0002081B">
        <w:t xml:space="preserve"> </w:t>
      </w:r>
      <w:r w:rsidRPr="0002081B">
        <w:tab/>
        <w:t>Chamber of Deputies (2026</w:t>
      </w:r>
      <w:r>
        <w:t>b</w:t>
      </w:r>
      <w:r w:rsidRPr="0002081B">
        <w:t xml:space="preserve">). </w:t>
      </w:r>
    </w:p>
  </w:footnote>
  <w:footnote w:id="153">
    <w:p w14:paraId="5831C577" w14:textId="77777777" w:rsidR="00490F94" w:rsidRPr="0002081B" w:rsidRDefault="00490F94" w:rsidP="006F4DD2">
      <w:pPr>
        <w:pStyle w:val="FootnoteText"/>
      </w:pPr>
      <w:r w:rsidRPr="0002081B">
        <w:rPr>
          <w:rStyle w:val="FootnoteReference"/>
        </w:rPr>
        <w:footnoteRef/>
      </w:r>
      <w:r w:rsidRPr="007C4638">
        <w:rPr>
          <w:lang w:val="en-IE"/>
        </w:rPr>
        <w:t xml:space="preserve"> </w:t>
      </w:r>
      <w:r w:rsidRPr="007C4638">
        <w:rPr>
          <w:lang w:val="en-IE"/>
        </w:rPr>
        <w:tab/>
      </w:r>
      <w:hyperlink r:id="rId9" w:history="1">
        <w:r w:rsidRPr="007C4638">
          <w:rPr>
            <w:rStyle w:val="Hyperlink"/>
            <w:lang w:val="en-IE"/>
          </w:rPr>
          <w:t>Law No. 167 of 10 November 2025</w:t>
        </w:r>
      </w:hyperlink>
      <w:r w:rsidRPr="007C4638">
        <w:rPr>
          <w:lang w:val="en-IE"/>
        </w:rPr>
        <w:t xml:space="preserve">. </w:t>
      </w:r>
      <w:r w:rsidRPr="0002081B">
        <w:t>Italian Government (2026), written input, p. 35.</w:t>
      </w:r>
    </w:p>
  </w:footnote>
  <w:footnote w:id="154">
    <w:p w14:paraId="08714A90" w14:textId="77777777" w:rsidR="00490F94" w:rsidRPr="0002081B" w:rsidRDefault="00490F94" w:rsidP="006F4DD2">
      <w:pPr>
        <w:pStyle w:val="FootnoteText"/>
      </w:pPr>
      <w:r w:rsidRPr="0002081B">
        <w:rPr>
          <w:rStyle w:val="FootnoteReference"/>
        </w:rPr>
        <w:footnoteRef/>
      </w:r>
      <w:r w:rsidRPr="0002081B">
        <w:t xml:space="preserve"> </w:t>
      </w:r>
      <w:r w:rsidRPr="0002081B">
        <w:tab/>
      </w:r>
      <w:r w:rsidRPr="005F76C5">
        <w:t>Foreign affairs and international cooperation; inland and mixed navigation; active electorate, keeping and revision of electoral rolls; education; disability; legal regimes of interdiction, incapacitation and supported decision-making; civil protection; policies for families, birth rates and equal opportunities; higher education and research; protection of workers’ health and safety in the port, maritime, fishing vessel and railway sectors.</w:t>
      </w:r>
      <w:r w:rsidRPr="005F76C5">
        <w:rPr>
          <w:lang w:val="en-IE"/>
        </w:rPr>
        <w:t xml:space="preserve"> Italian </w:t>
      </w:r>
      <w:r w:rsidRPr="0002081B">
        <w:t>Government (2026), written input, p. 35.</w:t>
      </w:r>
    </w:p>
  </w:footnote>
  <w:footnote w:id="155">
    <w:p w14:paraId="7D46321A" w14:textId="77777777" w:rsidR="00490F94" w:rsidRPr="0002081B" w:rsidRDefault="00490F94" w:rsidP="006F4DD2">
      <w:pPr>
        <w:pStyle w:val="FootnoteText"/>
      </w:pPr>
      <w:r w:rsidRPr="0002081B">
        <w:rPr>
          <w:rStyle w:val="FootnoteReference"/>
        </w:rPr>
        <w:footnoteRef/>
      </w:r>
      <w:r w:rsidRPr="0002081B">
        <w:t xml:space="preserve"> </w:t>
      </w:r>
      <w:r w:rsidRPr="0002081B">
        <w:tab/>
        <w:t>Country visit, Confindustria.</w:t>
      </w:r>
    </w:p>
  </w:footnote>
  <w:footnote w:id="156">
    <w:p w14:paraId="08FD0DB4" w14:textId="77777777" w:rsidR="00490F94" w:rsidRPr="00715D1C" w:rsidRDefault="00490F94" w:rsidP="006F4DD2">
      <w:pPr>
        <w:pStyle w:val="FootnoteText"/>
      </w:pPr>
      <w:r w:rsidRPr="00715D1C">
        <w:rPr>
          <w:rStyle w:val="FootnoteReference"/>
        </w:rPr>
        <w:footnoteRef/>
      </w:r>
      <w:r w:rsidRPr="00715D1C">
        <w:t xml:space="preserve"> </w:t>
      </w:r>
      <w:r>
        <w:tab/>
      </w:r>
      <w:r w:rsidRPr="004B0CFE">
        <w:t xml:space="preserve">For an explanation of the supervision process, see the </w:t>
      </w:r>
      <w:hyperlink r:id="rId10" w:history="1">
        <w:r w:rsidRPr="00101918">
          <w:rPr>
            <w:rStyle w:val="Hyperlink"/>
          </w:rPr>
          <w:t>website</w:t>
        </w:r>
      </w:hyperlink>
      <w:r w:rsidRPr="00101918">
        <w:t xml:space="preserve"> of the Council of Europe. </w:t>
      </w:r>
      <w:r>
        <w:t xml:space="preserve"> </w:t>
      </w:r>
    </w:p>
  </w:footnote>
  <w:footnote w:id="157">
    <w:p w14:paraId="6F036869" w14:textId="77777777" w:rsidR="00490F94" w:rsidRPr="00715D1C" w:rsidRDefault="00490F94" w:rsidP="006F4DD2">
      <w:pPr>
        <w:pStyle w:val="FootnoteText"/>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xml:space="preserve">, p. </w:t>
      </w:r>
      <w:r>
        <w:t>6</w:t>
      </w:r>
      <w:r w:rsidRPr="00715D1C">
        <w:t>.</w:t>
      </w:r>
    </w:p>
  </w:footnote>
  <w:footnote w:id="158">
    <w:p w14:paraId="70C982EC" w14:textId="09F45939" w:rsidR="00490F94" w:rsidRPr="00916739" w:rsidRDefault="00490F94" w:rsidP="006F4DD2">
      <w:pPr>
        <w:pStyle w:val="FootnoteText"/>
      </w:pPr>
      <w:r w:rsidRPr="00916739">
        <w:rPr>
          <w:rStyle w:val="FootnoteReference"/>
        </w:rPr>
        <w:footnoteRef/>
      </w:r>
      <w:r w:rsidRPr="00916739">
        <w:t xml:space="preserve"> </w:t>
      </w:r>
      <w:r w:rsidRPr="00916739">
        <w:tab/>
      </w:r>
      <w:r w:rsidRPr="00916739">
        <w:rPr>
          <w:color w:val="000000" w:themeColor="text1"/>
        </w:rPr>
        <w:t>Council of Europe (2026), Annual Report 2025, pp. 14</w:t>
      </w:r>
      <w:r w:rsidR="002113B9">
        <w:rPr>
          <w:color w:val="000000" w:themeColor="text1"/>
        </w:rPr>
        <w:t>3</w:t>
      </w:r>
      <w:r w:rsidRPr="00916739">
        <w:rPr>
          <w:color w:val="000000" w:themeColor="text1"/>
        </w:rPr>
        <w:t xml:space="preserve">, 157, 159, available </w:t>
      </w:r>
      <w:hyperlink r:id="rId11" w:history="1">
        <w:r w:rsidRPr="00916739">
          <w:rPr>
            <w:rStyle w:val="Hyperlink"/>
          </w:rPr>
          <w:t>here</w:t>
        </w:r>
      </w:hyperlink>
      <w:r w:rsidRPr="00916739">
        <w:rPr>
          <w:color w:val="000000" w:themeColor="text1"/>
        </w:rPr>
        <w:t xml:space="preserve">. </w:t>
      </w:r>
    </w:p>
  </w:footnote>
  <w:footnote w:id="159">
    <w:p w14:paraId="7DB07E75" w14:textId="44229946" w:rsidR="00490F94" w:rsidRPr="00916739" w:rsidRDefault="00490F94" w:rsidP="006F4DD2">
      <w:pPr>
        <w:pStyle w:val="FootnoteText"/>
      </w:pPr>
      <w:r w:rsidRPr="00916739">
        <w:rPr>
          <w:rStyle w:val="FootnoteReference"/>
        </w:rPr>
        <w:footnoteRef/>
      </w:r>
      <w:r w:rsidRPr="00916739">
        <w:t xml:space="preserve"> </w:t>
      </w:r>
      <w:r w:rsidRPr="00916739">
        <w:tab/>
        <w:t xml:space="preserve">European Court of Human Rights, judgment of 12 August 1999, </w:t>
      </w:r>
      <w:r w:rsidRPr="00916739">
        <w:rPr>
          <w:i/>
        </w:rPr>
        <w:t xml:space="preserve">Ledonne v. Italy (no. 1), </w:t>
      </w:r>
      <w:r w:rsidRPr="00916739">
        <w:t xml:space="preserve">case 35742/97. </w:t>
      </w:r>
      <w:r w:rsidRPr="00BD5769">
        <w:t xml:space="preserve">In September 2025, </w:t>
      </w:r>
      <w:r w:rsidRPr="00916739">
        <w:t xml:space="preserve">the Committee of Ministers </w:t>
      </w:r>
      <w:r w:rsidRPr="00BD5769">
        <w:t xml:space="preserve">of the Council of Europe </w:t>
      </w:r>
      <w:r w:rsidRPr="00916739">
        <w:t xml:space="preserve">noted that a wide range of reforms had brought the average length of criminal proceedings within acceptable and sustainable parameters, and that Italy had introduced an effective compensatory remedy. </w:t>
      </w:r>
      <w:hyperlink r:id="rId12" w:tgtFrame="FinRes" w:history="1">
        <w:r w:rsidRPr="00916739">
          <w:rPr>
            <w:rStyle w:val="Hyperlink"/>
          </w:rPr>
          <w:t>CM/ResDH(2025)256</w:t>
        </w:r>
      </w:hyperlink>
      <w:r w:rsidRPr="00916739">
        <w:t xml:space="preserve">. </w:t>
      </w:r>
      <w:r w:rsidRPr="00916739">
        <w:rPr>
          <w:color w:val="000000" w:themeColor="text1"/>
        </w:rPr>
        <w:t>Council of Europe (2026), Annual Report 2025, p.</w:t>
      </w:r>
      <w:r w:rsidR="000640D8">
        <w:rPr>
          <w:color w:val="000000" w:themeColor="text1"/>
        </w:rPr>
        <w:t xml:space="preserve"> </w:t>
      </w:r>
      <w:r w:rsidRPr="00916739">
        <w:rPr>
          <w:color w:val="000000" w:themeColor="text1"/>
        </w:rPr>
        <w:t xml:space="preserve">88. </w:t>
      </w:r>
    </w:p>
  </w:footnote>
  <w:footnote w:id="160">
    <w:p w14:paraId="76F04FE7" w14:textId="0E7F3C82" w:rsidR="00490F94" w:rsidRPr="00715D1C" w:rsidRDefault="00490F94" w:rsidP="006F4DD2">
      <w:pPr>
        <w:pStyle w:val="FootnoteText"/>
      </w:pPr>
      <w:r w:rsidRPr="00715D1C">
        <w:rPr>
          <w:rStyle w:val="FootnoteReference"/>
        </w:rPr>
        <w:footnoteRef/>
      </w:r>
      <w:r w:rsidRPr="00715D1C">
        <w:t xml:space="preserve"> </w:t>
      </w:r>
      <w:r>
        <w:tab/>
      </w:r>
      <w:r w:rsidR="00B6232D" w:rsidRPr="00916739">
        <w:t xml:space="preserve">European Court of Human Rights, judgment of </w:t>
      </w:r>
      <w:r w:rsidR="007B34B7">
        <w:t>12 January</w:t>
      </w:r>
      <w:r w:rsidR="00000402">
        <w:t xml:space="preserve"> 200</w:t>
      </w:r>
      <w:r w:rsidR="007B34B7">
        <w:t>1</w:t>
      </w:r>
      <w:r w:rsidR="00B6232D" w:rsidRPr="00916739">
        <w:t xml:space="preserve">, </w:t>
      </w:r>
      <w:r w:rsidR="00B6232D" w:rsidRPr="00CF1B27">
        <w:rPr>
          <w:i/>
        </w:rPr>
        <w:t xml:space="preserve">Trapani </w:t>
      </w:r>
      <w:r w:rsidR="00B6232D" w:rsidRPr="00916739">
        <w:rPr>
          <w:i/>
        </w:rPr>
        <w:t xml:space="preserve">v. Italy, </w:t>
      </w:r>
      <w:r w:rsidR="00B6232D" w:rsidRPr="00916739">
        <w:t xml:space="preserve">case </w:t>
      </w:r>
      <w:r>
        <w:t xml:space="preserve"> </w:t>
      </w:r>
      <w:r w:rsidRPr="00CF1B27">
        <w:rPr>
          <w:iCs/>
        </w:rPr>
        <w:t>45104/98</w:t>
      </w:r>
      <w:r w:rsidRPr="00715D1C">
        <w:t xml:space="preserve">. </w:t>
      </w:r>
    </w:p>
  </w:footnote>
  <w:footnote w:id="161">
    <w:p w14:paraId="7C36456E" w14:textId="77777777" w:rsidR="00490F94" w:rsidRPr="00916739" w:rsidRDefault="00490F94" w:rsidP="006F4DD2">
      <w:pPr>
        <w:pStyle w:val="FootnoteText"/>
      </w:pPr>
      <w:r w:rsidRPr="00916739">
        <w:rPr>
          <w:rStyle w:val="FootnoteReference"/>
        </w:rPr>
        <w:footnoteRef/>
      </w:r>
      <w:r w:rsidRPr="00916739">
        <w:t xml:space="preserve"> </w:t>
      </w:r>
      <w:r w:rsidRPr="00916739">
        <w:tab/>
      </w:r>
      <w:r w:rsidRPr="00916739">
        <w:rPr>
          <w:color w:val="000000" w:themeColor="text1"/>
        </w:rPr>
        <w:t xml:space="preserve">Council of Europe (2026), Annual Report 2025, pp. 163. </w:t>
      </w:r>
      <w:r w:rsidRPr="00916739">
        <w:t xml:space="preserve"> </w:t>
      </w:r>
    </w:p>
  </w:footnote>
  <w:footnote w:id="162">
    <w:p w14:paraId="4912782F" w14:textId="77777777" w:rsidR="00490F94" w:rsidRPr="00715D1C" w:rsidRDefault="00490F94" w:rsidP="006F4DD2">
      <w:pPr>
        <w:pStyle w:val="FootnoteText"/>
      </w:pPr>
      <w:r w:rsidRPr="00715D1C">
        <w:rPr>
          <w:rStyle w:val="FootnoteReference"/>
        </w:rPr>
        <w:footnoteRef/>
      </w:r>
      <w:r w:rsidRPr="00715D1C">
        <w:t xml:space="preserve"> </w:t>
      </w:r>
      <w:r>
        <w:tab/>
      </w:r>
      <w:r w:rsidRPr="00715D1C">
        <w:t>Data according to the online database of the Council of Europe (HUDOC).</w:t>
      </w:r>
    </w:p>
  </w:footnote>
  <w:footnote w:id="163">
    <w:p w14:paraId="64997A37" w14:textId="77777777" w:rsidR="00490F94" w:rsidRPr="00056F1D" w:rsidRDefault="00490F94" w:rsidP="006F4DD2">
      <w:pPr>
        <w:pStyle w:val="FootnoteText"/>
      </w:pPr>
      <w:r w:rsidRPr="00056F1D">
        <w:rPr>
          <w:rStyle w:val="FootnoteReference"/>
        </w:rPr>
        <w:footnoteRef/>
      </w:r>
      <w:r w:rsidRPr="00056F1D">
        <w:t xml:space="preserve"> </w:t>
      </w:r>
      <w:r w:rsidRPr="00056F1D">
        <w:tab/>
        <w:t>Figure</w:t>
      </w:r>
      <w:r>
        <w:t>s</w:t>
      </w:r>
      <w:r w:rsidRPr="00056F1D">
        <w:t xml:space="preserve"> </w:t>
      </w:r>
      <w:r>
        <w:t>52 and 53</w:t>
      </w:r>
      <w:r w:rsidRPr="00056F1D">
        <w:t>, 202</w:t>
      </w:r>
      <w:r>
        <w:t>6</w:t>
      </w:r>
      <w:r w:rsidRPr="00056F1D">
        <w:t xml:space="preserve"> EU Justice Scoreboard</w:t>
      </w:r>
      <w:r>
        <w:t>.</w:t>
      </w:r>
      <w:r w:rsidRPr="0020756C">
        <w:rPr>
          <w:lang w:eastAsia="fr-FR"/>
        </w:rPr>
        <w:t xml:space="preserve"> </w:t>
      </w:r>
      <w:r>
        <w:rPr>
          <w:lang w:eastAsia="fr-FR"/>
        </w:rPr>
        <w:t>28</w:t>
      </w:r>
      <w:r w:rsidRPr="00AE1382">
        <w:rPr>
          <w:lang w:eastAsia="fr-FR"/>
        </w:rPr>
        <w:t xml:space="preserve">% and </w:t>
      </w:r>
      <w:r>
        <w:rPr>
          <w:lang w:eastAsia="fr-FR"/>
        </w:rPr>
        <w:t>only 11</w:t>
      </w:r>
      <w:r w:rsidRPr="00AE1382">
        <w:rPr>
          <w:lang w:eastAsia="fr-FR"/>
        </w:rPr>
        <w:t xml:space="preserve">% </w:t>
      </w:r>
      <w:r w:rsidRPr="00056F1D">
        <w:t xml:space="preserve">of the surveyed investors </w:t>
      </w:r>
      <w:r>
        <w:t xml:space="preserve">respectively </w:t>
      </w:r>
      <w:r w:rsidRPr="00056F1D">
        <w:t>perceive</w:t>
      </w:r>
      <w:r>
        <w:t xml:space="preserve"> (i) </w:t>
      </w:r>
      <w:r w:rsidRPr="00E65DB6">
        <w:rPr>
          <w:rFonts w:eastAsia="Calibri"/>
        </w:rPr>
        <w:t>concerns about quality, efficiency or independence of justice</w:t>
      </w:r>
      <w:r>
        <w:rPr>
          <w:rFonts w:eastAsia="Calibri"/>
        </w:rPr>
        <w:t xml:space="preserve"> and </w:t>
      </w:r>
      <w:r w:rsidRPr="00196C3B">
        <w:t xml:space="preserve">frequent changes in legislation or </w:t>
      </w:r>
      <w:r>
        <w:t xml:space="preserve">(ii) </w:t>
      </w:r>
      <w:r w:rsidRPr="00196C3B">
        <w:t>concerns about the quality of the law-making process</w:t>
      </w:r>
      <w:r w:rsidRPr="00056F1D">
        <w:t xml:space="preserve"> as a reason for the lack of confidence in investment protection</w:t>
      </w:r>
      <w:r w:rsidRPr="00DA4734">
        <w:t>.</w:t>
      </w:r>
      <w:r w:rsidRPr="0020756C">
        <w:rPr>
          <w:lang w:eastAsia="fr-FR"/>
        </w:rPr>
        <w:t xml:space="preserve"> </w:t>
      </w:r>
    </w:p>
  </w:footnote>
  <w:footnote w:id="164">
    <w:p w14:paraId="6EF27355" w14:textId="77777777" w:rsidR="00490F94" w:rsidRDefault="00490F94" w:rsidP="006F4DD2">
      <w:pPr>
        <w:pStyle w:val="FootnoteText"/>
      </w:pPr>
      <w:r w:rsidRPr="1AA4A207">
        <w:rPr>
          <w:rStyle w:val="FootnoteReference"/>
        </w:rPr>
        <w:footnoteRef/>
      </w:r>
      <w:r w:rsidRPr="1AA4A207">
        <w:t xml:space="preserve"> </w:t>
      </w:r>
      <w:r>
        <w:tab/>
      </w:r>
      <w:r w:rsidRPr="1AA4A207">
        <w:t xml:space="preserve">Figure </w:t>
      </w:r>
      <w:r>
        <w:t>60</w:t>
      </w:r>
      <w:r w:rsidRPr="1AA4A207">
        <w:t>, 202</w:t>
      </w:r>
      <w:r>
        <w:t>6</w:t>
      </w:r>
      <w:r w:rsidRPr="1AA4A207">
        <w:t xml:space="preserve"> EU Justice Scoreboard.</w:t>
      </w:r>
      <w:r w:rsidRPr="00437DAF">
        <w:rPr>
          <w:lang w:eastAsia="fr-FR"/>
        </w:rPr>
        <w:t xml:space="preserve"> </w:t>
      </w:r>
    </w:p>
  </w:footnote>
  <w:footnote w:id="165">
    <w:p w14:paraId="663F7E89" w14:textId="77777777" w:rsidR="00490F94" w:rsidRPr="00866ABA" w:rsidRDefault="00490F94" w:rsidP="006F4DD2">
      <w:pPr>
        <w:pStyle w:val="FootnoteText"/>
      </w:pPr>
      <w:r>
        <w:rPr>
          <w:rStyle w:val="FootnoteReference"/>
        </w:rPr>
        <w:footnoteRef/>
      </w:r>
      <w:r>
        <w:t xml:space="preserve"> </w:t>
      </w:r>
      <w:r w:rsidRPr="00866ABA">
        <w:tab/>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66">
    <w:p w14:paraId="2CE634F3" w14:textId="77777777" w:rsidR="00490F94" w:rsidRPr="0002081B" w:rsidRDefault="00490F94" w:rsidP="006F4DD2">
      <w:pPr>
        <w:pStyle w:val="FootnoteText"/>
      </w:pPr>
      <w:r w:rsidRPr="0002081B">
        <w:rPr>
          <w:rStyle w:val="FootnoteReference"/>
        </w:rPr>
        <w:footnoteRef/>
      </w:r>
      <w:r w:rsidRPr="0002081B">
        <w:t xml:space="preserve"> </w:t>
      </w:r>
      <w:r w:rsidRPr="0002081B">
        <w:tab/>
      </w:r>
      <w:r w:rsidRPr="0002081B">
        <w:rPr>
          <w:bCs/>
          <w:lang w:eastAsia="fr-FR"/>
        </w:rPr>
        <w:t>The 2025 Rule of Law Report recommended to Italy to ‘[s]tep up efforts to establish a National Human Rights Institution taking into account the UN Paris Principles’.</w:t>
      </w:r>
      <w:r w:rsidRPr="0002081B">
        <w:t xml:space="preserve"> No progress was previously assessed on this recommendation in 2025 and 2024 and some progress in 2023.</w:t>
      </w:r>
    </w:p>
  </w:footnote>
  <w:footnote w:id="167">
    <w:p w14:paraId="168A0654" w14:textId="77777777" w:rsidR="00490F94" w:rsidRPr="0002081B" w:rsidRDefault="00490F94" w:rsidP="006F4DD2">
      <w:pPr>
        <w:pStyle w:val="FootnoteText"/>
      </w:pPr>
      <w:r w:rsidRPr="0002081B">
        <w:rPr>
          <w:rStyle w:val="FootnoteReference"/>
        </w:rPr>
        <w:footnoteRef/>
      </w:r>
      <w:r w:rsidRPr="0002081B">
        <w:t xml:space="preserve"> </w:t>
      </w:r>
      <w:r w:rsidRPr="0002081B">
        <w:tab/>
        <w:t>Italian Government (2026), written input, p. 36.</w:t>
      </w:r>
    </w:p>
  </w:footnote>
  <w:footnote w:id="168">
    <w:p w14:paraId="482172E5" w14:textId="77777777" w:rsidR="00490F94" w:rsidRPr="0066197E" w:rsidRDefault="00490F94" w:rsidP="006F4DD2">
      <w:pPr>
        <w:pStyle w:val="FootnoteText"/>
        <w:rPr>
          <w:lang w:val="it-IT"/>
        </w:rPr>
      </w:pPr>
      <w:r w:rsidRPr="0002081B">
        <w:rPr>
          <w:rStyle w:val="FootnoteReference"/>
        </w:rPr>
        <w:footnoteRef/>
      </w:r>
      <w:r w:rsidRPr="0066197E">
        <w:rPr>
          <w:lang w:val="it-IT"/>
        </w:rPr>
        <w:t xml:space="preserve"> </w:t>
      </w:r>
      <w:r w:rsidRPr="0066197E">
        <w:rPr>
          <w:lang w:val="it-IT"/>
        </w:rPr>
        <w:tab/>
        <w:t xml:space="preserve">Draft law </w:t>
      </w:r>
      <w:hyperlink r:id="rId13" w:history="1">
        <w:r w:rsidRPr="0066197E">
          <w:rPr>
            <w:rStyle w:val="Hyperlink"/>
            <w:lang w:val="it-IT"/>
          </w:rPr>
          <w:t>A.S. 505</w:t>
        </w:r>
      </w:hyperlink>
      <w:r w:rsidRPr="0066197E">
        <w:rPr>
          <w:lang w:val="it-IT"/>
        </w:rPr>
        <w:t>.</w:t>
      </w:r>
    </w:p>
  </w:footnote>
  <w:footnote w:id="169">
    <w:p w14:paraId="4641A5BD" w14:textId="77777777" w:rsidR="00490F94" w:rsidRPr="0002081B" w:rsidRDefault="00490F94" w:rsidP="006F4DD2">
      <w:pPr>
        <w:pStyle w:val="FootnoteText"/>
      </w:pPr>
      <w:r w:rsidRPr="0002081B">
        <w:rPr>
          <w:rStyle w:val="FootnoteReference"/>
        </w:rPr>
        <w:footnoteRef/>
      </w:r>
      <w:r w:rsidRPr="007B6244">
        <w:rPr>
          <w:lang w:val="it-IT"/>
        </w:rPr>
        <w:t xml:space="preserve"> </w:t>
      </w:r>
      <w:r w:rsidRPr="007B6244">
        <w:rPr>
          <w:lang w:val="it-IT"/>
        </w:rPr>
        <w:tab/>
        <w:t xml:space="preserve">Country visit Italy, ARCI, CILD, COSPE, Antigone, Emergency, Unione Forense per la Tutela dei Diritti Umani. </w:t>
      </w:r>
      <w:r w:rsidRPr="0002081B">
        <w:t>Civil Liberties (2026), written input, p. 32.</w:t>
      </w:r>
    </w:p>
  </w:footnote>
  <w:footnote w:id="170">
    <w:p w14:paraId="5F8028BD" w14:textId="05FAAEEF" w:rsidR="00490F94" w:rsidRPr="00BD5769" w:rsidRDefault="00490F94" w:rsidP="006F4DD2">
      <w:pPr>
        <w:pStyle w:val="FootnoteText"/>
        <w:rPr>
          <w:rStyle w:val="FootnoteReference"/>
        </w:rPr>
      </w:pPr>
      <w:r w:rsidRPr="0002081B">
        <w:rPr>
          <w:rStyle w:val="FootnoteReference"/>
        </w:rPr>
        <w:footnoteRef/>
      </w:r>
      <w:r w:rsidRPr="0002081B">
        <w:rPr>
          <w:rStyle w:val="FootnoteReference"/>
        </w:rPr>
        <w:t xml:space="preserve"> </w:t>
      </w:r>
      <w:r w:rsidRPr="0002081B">
        <w:tab/>
        <w:t>Italian Government (2026), written input, pp. 6, 36-37.</w:t>
      </w:r>
      <w:r>
        <w:t xml:space="preserve"> Country visit Italy, Italian Government.</w:t>
      </w:r>
      <w:r w:rsidR="007041AE" w:rsidRPr="007041AE">
        <w:t xml:space="preserve"> </w:t>
      </w:r>
      <w:r w:rsidR="007041AE" w:rsidRPr="003D5433">
        <w:t>Existing authorities with competences in the field of human rights protection include: the Interministerial Committee on Human Rights, the National Ombudsman for the Rights of Persons Detained or Deprived of Personal Liberty, the Ombudsman for Children and Adolescents, the Data Protection Authority, the Communications Regulatory Authority, and, as of 2025, the National Authority for the Rights of Persons with Disabilities.</w:t>
      </w:r>
    </w:p>
  </w:footnote>
  <w:footnote w:id="171">
    <w:p w14:paraId="52A7B5C6" w14:textId="77777777" w:rsidR="00490F94" w:rsidRPr="0002081B" w:rsidRDefault="00490F94" w:rsidP="006F4DD2">
      <w:pPr>
        <w:pStyle w:val="FootnoteText"/>
        <w:rPr>
          <w:rStyle w:val="FootnoteReference"/>
        </w:rPr>
      </w:pPr>
      <w:r w:rsidRPr="0002081B">
        <w:rPr>
          <w:rStyle w:val="FootnoteReference"/>
        </w:rPr>
        <w:footnoteRef/>
      </w:r>
      <w:r w:rsidRPr="0002081B">
        <w:rPr>
          <w:rStyle w:val="FootnoteReference"/>
        </w:rPr>
        <w:t xml:space="preserve"> </w:t>
      </w:r>
      <w:r w:rsidRPr="0002081B">
        <w:tab/>
        <w:t xml:space="preserve">Council of Europe Commissioner for Human Rights </w:t>
      </w:r>
      <w:r>
        <w:t>(</w:t>
      </w:r>
      <w:r w:rsidRPr="0002081B">
        <w:t>2026</w:t>
      </w:r>
      <w:r>
        <w:t>)</w:t>
      </w:r>
      <w:r w:rsidRPr="0002081B">
        <w:t xml:space="preserve">. </w:t>
      </w:r>
    </w:p>
  </w:footnote>
  <w:footnote w:id="172">
    <w:p w14:paraId="06F541FA" w14:textId="77777777" w:rsidR="00490F94" w:rsidRPr="0002081B" w:rsidRDefault="00490F94" w:rsidP="006F4DD2">
      <w:pPr>
        <w:pStyle w:val="FootnoteText"/>
        <w:rPr>
          <w:rStyle w:val="FootnoteReference"/>
        </w:rPr>
      </w:pPr>
      <w:r w:rsidRPr="0002081B">
        <w:rPr>
          <w:rStyle w:val="FootnoteReference"/>
        </w:rPr>
        <w:footnoteRef/>
      </w:r>
      <w:r w:rsidRPr="0002081B">
        <w:rPr>
          <w:rStyle w:val="FootnoteReference"/>
        </w:rPr>
        <w:t xml:space="preserve"> </w:t>
      </w:r>
      <w:r w:rsidRPr="0002081B">
        <w:tab/>
      </w:r>
      <w:r w:rsidRPr="00320AB1">
        <w:t>Legislative Decree No. 91</w:t>
      </w:r>
      <w:r>
        <w:t xml:space="preserve"> of </w:t>
      </w:r>
      <w:r w:rsidRPr="00320AB1">
        <w:t>2026</w:t>
      </w:r>
      <w:r>
        <w:t xml:space="preserve">, aiming to implement EU </w:t>
      </w:r>
      <w:r w:rsidRPr="00320AB1">
        <w:t>Directives 2024/1499 and 2024/1500</w:t>
      </w:r>
      <w:r>
        <w:t xml:space="preserve"> on minimum standards </w:t>
      </w:r>
      <w:r w:rsidRPr="008F0C2C">
        <w:rPr>
          <w:lang w:eastAsia="fr-FR"/>
        </w:rPr>
        <w:t>for national equality bodies</w:t>
      </w:r>
      <w:r>
        <w:rPr>
          <w:lang w:eastAsia="fr-FR"/>
        </w:rPr>
        <w:t>.</w:t>
      </w:r>
    </w:p>
  </w:footnote>
  <w:footnote w:id="173">
    <w:p w14:paraId="09F0CD85" w14:textId="71A82D9B" w:rsidR="00490F94" w:rsidRPr="0002081B" w:rsidRDefault="00490F94" w:rsidP="006F4DD2">
      <w:pPr>
        <w:pStyle w:val="FootnoteText"/>
        <w:rPr>
          <w:color w:val="000000" w:themeColor="text1"/>
        </w:rPr>
      </w:pPr>
      <w:r w:rsidRPr="0002081B">
        <w:rPr>
          <w:rStyle w:val="FootnoteReference"/>
        </w:rPr>
        <w:footnoteRef/>
      </w:r>
      <w:r w:rsidRPr="0002081B">
        <w:t xml:space="preserve"> </w:t>
      </w:r>
      <w:r w:rsidRPr="0002081B">
        <w:tab/>
      </w:r>
      <w:r>
        <w:t xml:space="preserve">Italy’s score is 60/100. </w:t>
      </w:r>
      <w:r w:rsidRPr="0002081B">
        <w:rPr>
          <w:color w:val="000000" w:themeColor="text1"/>
        </w:rPr>
        <w:t xml:space="preserve">See </w:t>
      </w:r>
      <w:hyperlink r:id="rId14" w:history="1">
        <w:r w:rsidRPr="0002081B">
          <w:rPr>
            <w:rStyle w:val="Hyperlink"/>
          </w:rPr>
          <w:t>https://monitor.civicus.org/press_release/2025/italy/</w:t>
        </w:r>
      </w:hyperlink>
      <w:r w:rsidRPr="0002081B">
        <w:rPr>
          <w:color w:val="000000" w:themeColor="text1"/>
        </w:rPr>
        <w:t>; Rating</w:t>
      </w:r>
      <w:r>
        <w:rPr>
          <w:color w:val="000000" w:themeColor="text1"/>
        </w:rPr>
        <w:t>s</w:t>
      </w:r>
      <w:r w:rsidRPr="0002081B">
        <w:rPr>
          <w:color w:val="000000" w:themeColor="text1"/>
        </w:rPr>
        <w:t xml:space="preserve"> by Civicus are on a five-category scale </w:t>
      </w:r>
      <w:r w:rsidRPr="00A36427">
        <w:rPr>
          <w:color w:val="000000" w:themeColor="text1"/>
        </w:rPr>
        <w:t>defined as: open, narrowed, obstructed, repressed and closed</w:t>
      </w:r>
      <w:r w:rsidRPr="00AD25A4">
        <w:rPr>
          <w:color w:val="000000" w:themeColor="text1"/>
        </w:rPr>
        <w:t xml:space="preserve">. </w:t>
      </w:r>
      <w:r w:rsidRPr="00A36427">
        <w:rPr>
          <w:color w:val="000000" w:themeColor="text1"/>
        </w:rPr>
        <w:t>Also see FRANET (2026), p</w:t>
      </w:r>
      <w:r w:rsidR="000A7B59">
        <w:rPr>
          <w:color w:val="000000" w:themeColor="text1"/>
        </w:rPr>
        <w:t>p</w:t>
      </w:r>
      <w:r w:rsidRPr="00A36427">
        <w:rPr>
          <w:color w:val="000000" w:themeColor="text1"/>
        </w:rPr>
        <w:t xml:space="preserve">. </w:t>
      </w:r>
      <w:r w:rsidR="000A7B59">
        <w:rPr>
          <w:color w:val="000000" w:themeColor="text1"/>
        </w:rPr>
        <w:t>184-185</w:t>
      </w:r>
      <w:r w:rsidRPr="00A36427">
        <w:rPr>
          <w:color w:val="000000" w:themeColor="text1"/>
        </w:rPr>
        <w:t>.</w:t>
      </w:r>
      <w:r w:rsidRPr="0002081B">
        <w:rPr>
          <w:color w:val="000000" w:themeColor="text1"/>
        </w:rPr>
        <w:t xml:space="preserve"> </w:t>
      </w:r>
    </w:p>
  </w:footnote>
  <w:footnote w:id="174">
    <w:p w14:paraId="7609158B" w14:textId="77777777" w:rsidR="00490F94" w:rsidRPr="00397DA2" w:rsidRDefault="00490F94" w:rsidP="006F4DD2">
      <w:pPr>
        <w:pStyle w:val="FootnoteText"/>
        <w:rPr>
          <w:color w:val="000000" w:themeColor="text1"/>
          <w:lang w:val="it-IT"/>
        </w:rPr>
      </w:pPr>
      <w:r w:rsidRPr="0002081B">
        <w:rPr>
          <w:rStyle w:val="FootnoteReference"/>
          <w:color w:val="000000" w:themeColor="text1"/>
        </w:rPr>
        <w:footnoteRef/>
      </w:r>
      <w:r w:rsidRPr="0002081B">
        <w:rPr>
          <w:color w:val="000000" w:themeColor="text1"/>
        </w:rPr>
        <w:t xml:space="preserve"> </w:t>
      </w:r>
      <w:r w:rsidRPr="0002081B">
        <w:rPr>
          <w:color w:val="000000" w:themeColor="text1"/>
        </w:rPr>
        <w:tab/>
        <w:t>2025 Rule of Law Report</w:t>
      </w:r>
      <w:r>
        <w:rPr>
          <w:color w:val="000000" w:themeColor="text1"/>
        </w:rPr>
        <w:t>, Italy, p. 21</w:t>
      </w:r>
      <w:r w:rsidRPr="0002081B">
        <w:rPr>
          <w:szCs w:val="22"/>
          <w:lang w:eastAsia="fr-FR"/>
        </w:rPr>
        <w:t xml:space="preserve">. </w:t>
      </w:r>
      <w:r w:rsidRPr="00397DA2">
        <w:rPr>
          <w:szCs w:val="22"/>
          <w:lang w:val="it-IT" w:eastAsia="fr-FR"/>
        </w:rPr>
        <w:t xml:space="preserve">See also </w:t>
      </w:r>
      <w:r w:rsidRPr="00397DA2">
        <w:rPr>
          <w:lang w:val="it-IT"/>
        </w:rPr>
        <w:t>Associazione Italiana Costituzionalisti</w:t>
      </w:r>
      <w:r w:rsidRPr="00397DA2">
        <w:rPr>
          <w:szCs w:val="22"/>
          <w:lang w:val="it-IT" w:eastAsia="fr-FR"/>
        </w:rPr>
        <w:t xml:space="preserve"> (2025).</w:t>
      </w:r>
    </w:p>
  </w:footnote>
  <w:footnote w:id="175">
    <w:p w14:paraId="558C7878" w14:textId="77777777" w:rsidR="00490F94" w:rsidRPr="0002081B" w:rsidRDefault="00490F94" w:rsidP="006F4DD2">
      <w:pPr>
        <w:pStyle w:val="FootnoteText"/>
      </w:pPr>
      <w:r w:rsidRPr="0002081B">
        <w:rPr>
          <w:rStyle w:val="FootnoteReference"/>
        </w:rPr>
        <w:footnoteRef/>
      </w:r>
      <w:r w:rsidRPr="0002081B">
        <w:tab/>
        <w:t>Council of Ministers (2026), Draft law on public security measures, adopted on 5 February 2026. Council of Ministers (2026).</w:t>
      </w:r>
    </w:p>
  </w:footnote>
  <w:footnote w:id="176">
    <w:p w14:paraId="08F680EB" w14:textId="77777777" w:rsidR="00490F94" w:rsidRPr="0002081B" w:rsidRDefault="00490F94" w:rsidP="006F4DD2">
      <w:pPr>
        <w:pStyle w:val="FootnoteText"/>
      </w:pPr>
      <w:r w:rsidRPr="0002081B">
        <w:rPr>
          <w:rStyle w:val="FootnoteReference"/>
        </w:rPr>
        <w:footnoteRef/>
      </w:r>
      <w:r w:rsidRPr="0002081B">
        <w:tab/>
      </w:r>
      <w:r>
        <w:t>FRA (2026), written input, p. 6</w:t>
      </w:r>
      <w:r w:rsidRPr="0002081B">
        <w:t>.</w:t>
      </w:r>
    </w:p>
  </w:footnote>
  <w:footnote w:id="177">
    <w:p w14:paraId="73BC6B5E" w14:textId="77777777" w:rsidR="00490F94" w:rsidRPr="0002081B" w:rsidRDefault="00490F94" w:rsidP="006F4DD2">
      <w:pPr>
        <w:pStyle w:val="FootnoteText"/>
      </w:pPr>
      <w:r w:rsidRPr="0002081B">
        <w:rPr>
          <w:rStyle w:val="FootnoteReference"/>
        </w:rPr>
        <w:footnoteRef/>
      </w:r>
      <w:r w:rsidRPr="0002081B">
        <w:tab/>
      </w:r>
      <w:hyperlink r:id="rId15" w:history="1">
        <w:r w:rsidRPr="002B2CDA">
          <w:rPr>
            <w:rStyle w:val="Hyperlink"/>
          </w:rPr>
          <w:t>Law No. 54 of 26 April 2026</w:t>
        </w:r>
      </w:hyperlink>
      <w:r>
        <w:t xml:space="preserve">, </w:t>
      </w:r>
      <w:r w:rsidRPr="0002081B">
        <w:t>convert</w:t>
      </w:r>
      <w:r>
        <w:t>ing</w:t>
      </w:r>
      <w:r w:rsidRPr="0002081B">
        <w:t xml:space="preserve"> Decree Law No. 23 of 2026 into law.</w:t>
      </w:r>
    </w:p>
  </w:footnote>
  <w:footnote w:id="178">
    <w:p w14:paraId="1E6FF79A" w14:textId="06A1C5E0" w:rsidR="00490F94" w:rsidRPr="00D71250" w:rsidRDefault="00490F94" w:rsidP="006F4DD2">
      <w:pPr>
        <w:pStyle w:val="FootnoteText"/>
        <w:rPr>
          <w:lang w:val="en-IE"/>
        </w:rPr>
      </w:pPr>
      <w:r w:rsidRPr="0002081B">
        <w:rPr>
          <w:rStyle w:val="FootnoteReference"/>
        </w:rPr>
        <w:footnoteRef/>
      </w:r>
      <w:r w:rsidRPr="007B6244">
        <w:rPr>
          <w:lang w:val="it-IT"/>
        </w:rPr>
        <w:tab/>
        <w:t>Country visit Italy, ARCI, CILD, COSPE, Emergency, Antigone</w:t>
      </w:r>
      <w:r>
        <w:rPr>
          <w:lang w:val="it-IT"/>
        </w:rPr>
        <w:t xml:space="preserve"> and</w:t>
      </w:r>
      <w:r w:rsidRPr="007B6244">
        <w:rPr>
          <w:lang w:val="it-IT"/>
        </w:rPr>
        <w:t xml:space="preserve"> Unione Forense per la Tutela dei Diritti Umani. </w:t>
      </w:r>
      <w:r w:rsidRPr="00D71250">
        <w:rPr>
          <w:lang w:val="en-IE"/>
        </w:rPr>
        <w:t>Civil Society Europe (2026)</w:t>
      </w:r>
      <w:r w:rsidR="00B158DC">
        <w:rPr>
          <w:lang w:val="en-IE"/>
        </w:rPr>
        <w:t>.</w:t>
      </w:r>
    </w:p>
  </w:footnote>
  <w:footnote w:id="179">
    <w:p w14:paraId="487A8B90" w14:textId="77777777" w:rsidR="00490F94" w:rsidRPr="0002081B" w:rsidRDefault="00490F94" w:rsidP="006F4DD2">
      <w:pPr>
        <w:pStyle w:val="FootnoteText"/>
      </w:pPr>
      <w:r w:rsidRPr="0002081B">
        <w:rPr>
          <w:rStyle w:val="FootnoteReference"/>
        </w:rPr>
        <w:footnoteRef/>
      </w:r>
      <w:r w:rsidRPr="0002081B">
        <w:tab/>
      </w:r>
      <w:r>
        <w:t>Venturi (</w:t>
      </w:r>
      <w:r w:rsidRPr="0002081B">
        <w:t>2026). Net4Defenders and ARCI (2025).</w:t>
      </w:r>
    </w:p>
  </w:footnote>
  <w:footnote w:id="180">
    <w:p w14:paraId="4CC39A0B" w14:textId="37F8FA37" w:rsidR="000E4853" w:rsidRPr="000C3EE4" w:rsidRDefault="000E4853">
      <w:pPr>
        <w:pStyle w:val="FootnoteText"/>
        <w:rPr>
          <w:lang w:val="en-US"/>
        </w:rPr>
      </w:pPr>
      <w:r>
        <w:rPr>
          <w:rStyle w:val="FootnoteReference"/>
        </w:rPr>
        <w:footnoteRef/>
      </w:r>
      <w:r>
        <w:tab/>
      </w:r>
      <w:r w:rsidR="000C3EE4">
        <w:t xml:space="preserve">2025 Rule of Law Report, Italy, p. </w:t>
      </w:r>
      <w:r w:rsidR="007060AD">
        <w:t xml:space="preserve">21. </w:t>
      </w:r>
    </w:p>
  </w:footnote>
  <w:footnote w:id="181">
    <w:p w14:paraId="2048EB21" w14:textId="77777777" w:rsidR="00490F94" w:rsidRPr="00D71250" w:rsidRDefault="00490F94" w:rsidP="006F4DD2">
      <w:pPr>
        <w:pStyle w:val="FootnoteText"/>
        <w:rPr>
          <w:lang w:val="en-IE"/>
        </w:rPr>
      </w:pPr>
      <w:r w:rsidRPr="0002081B">
        <w:rPr>
          <w:rStyle w:val="FootnoteReference"/>
        </w:rPr>
        <w:footnoteRef/>
      </w:r>
      <w:r w:rsidRPr="00D71250">
        <w:rPr>
          <w:lang w:val="en-IE"/>
        </w:rPr>
        <w:tab/>
        <w:t>Court of Cassation (2026)</w:t>
      </w:r>
      <w:r>
        <w:rPr>
          <w:lang w:val="en-IE"/>
        </w:rPr>
        <w:t xml:space="preserve">. </w:t>
      </w:r>
      <w:r w:rsidRPr="00D71250">
        <w:rPr>
          <w:lang w:val="en-IE"/>
        </w:rPr>
        <w:t>Report No.</w:t>
      </w:r>
      <w:r>
        <w:rPr>
          <w:lang w:val="en-IE"/>
        </w:rPr>
        <w:t xml:space="preserve"> 39 of 2026 </w:t>
      </w:r>
      <w:r>
        <w:t xml:space="preserve">noted that the </w:t>
      </w:r>
      <w:r w:rsidRPr="00EF1CD3">
        <w:t>expansion of criminal</w:t>
      </w:r>
      <w:r>
        <w:t xml:space="preserve"> </w:t>
      </w:r>
      <w:r w:rsidRPr="00EF1CD3">
        <w:t>law and police powers may improve public</w:t>
      </w:r>
      <w:r>
        <w:t xml:space="preserve"> </w:t>
      </w:r>
      <w:r w:rsidRPr="00EF1CD3">
        <w:t xml:space="preserve">order enforcement </w:t>
      </w:r>
      <w:r>
        <w:t>while</w:t>
      </w:r>
      <w:r w:rsidRPr="00EF1CD3">
        <w:t xml:space="preserve"> </w:t>
      </w:r>
      <w:r>
        <w:t>it raises</w:t>
      </w:r>
      <w:r w:rsidRPr="00EF1CD3">
        <w:t xml:space="preserve"> concerns about proportionality, legal certainty, and compatibility with constitutional </w:t>
      </w:r>
      <w:r>
        <w:t>guarantees</w:t>
      </w:r>
      <w:r w:rsidRPr="00EF1CD3">
        <w:t xml:space="preserve"> of </w:t>
      </w:r>
      <w:r>
        <w:t>fundamental rights and freedoms.</w:t>
      </w:r>
    </w:p>
  </w:footnote>
  <w:footnote w:id="182">
    <w:p w14:paraId="28712655" w14:textId="77777777" w:rsidR="00490F94" w:rsidRPr="00D92D10" w:rsidRDefault="00490F94" w:rsidP="006F4DD2">
      <w:pPr>
        <w:pStyle w:val="FootnoteText"/>
        <w:rPr>
          <w:lang w:val="it-IT"/>
        </w:rPr>
      </w:pPr>
      <w:r>
        <w:rPr>
          <w:rStyle w:val="FootnoteReference"/>
        </w:rPr>
        <w:footnoteRef/>
      </w:r>
      <w:r w:rsidRPr="00F27F06">
        <w:t xml:space="preserve"> </w:t>
      </w:r>
      <w:r w:rsidRPr="00F27F06">
        <w:tab/>
      </w:r>
      <w:r w:rsidRPr="00723D2D">
        <w:t xml:space="preserve">2025 Rule of Law Report, </w:t>
      </w:r>
      <w:r>
        <w:t xml:space="preserve">Italy, </w:t>
      </w:r>
      <w:r w:rsidRPr="00723D2D">
        <w:t>p.</w:t>
      </w:r>
      <w:r>
        <w:t xml:space="preserve"> </w:t>
      </w:r>
      <w:r w:rsidRPr="00723D2D">
        <w:t>18</w:t>
      </w:r>
      <w:r w:rsidRPr="2F149791">
        <w:rPr>
          <w:lang w:val="en-IE"/>
        </w:rPr>
        <w:t xml:space="preserve">. </w:t>
      </w:r>
      <w:r w:rsidRPr="00D92D10">
        <w:rPr>
          <w:lang w:val="it-IT"/>
        </w:rPr>
        <w:t>FNSI, Ordine dei Giornalisti, Ossigeno per l’Informazione, CILD, OBCT, ReCommon, written inputs, p.</w:t>
      </w:r>
      <w:r>
        <w:rPr>
          <w:lang w:val="it-IT"/>
        </w:rPr>
        <w:t xml:space="preserve"> </w:t>
      </w:r>
      <w:r w:rsidRPr="00D92D10">
        <w:rPr>
          <w:lang w:val="it-IT"/>
        </w:rPr>
        <w:t>19, p.</w:t>
      </w:r>
      <w:r>
        <w:rPr>
          <w:lang w:val="it-IT"/>
        </w:rPr>
        <w:t xml:space="preserve"> </w:t>
      </w:r>
      <w:r w:rsidRPr="00D92D10">
        <w:rPr>
          <w:lang w:val="it-IT"/>
        </w:rPr>
        <w:t>19, pp.</w:t>
      </w:r>
      <w:r>
        <w:rPr>
          <w:lang w:val="it-IT"/>
        </w:rPr>
        <w:t xml:space="preserve"> </w:t>
      </w:r>
      <w:r w:rsidRPr="00D92D10">
        <w:rPr>
          <w:lang w:val="it-IT"/>
        </w:rPr>
        <w:t>7 and 19, p.</w:t>
      </w:r>
      <w:r>
        <w:rPr>
          <w:lang w:val="it-IT"/>
        </w:rPr>
        <w:t xml:space="preserve"> </w:t>
      </w:r>
      <w:r w:rsidRPr="00D92D10">
        <w:rPr>
          <w:lang w:val="it-IT"/>
        </w:rPr>
        <w:t xml:space="preserve">30, pp. 19-20, pp. 1-3 respectively.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29653" w14:textId="77777777" w:rsidR="00BB66A5" w:rsidRPr="00BB66A5" w:rsidRDefault="00BB66A5" w:rsidP="00BB66A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4F1BF" w14:textId="77777777" w:rsidR="00BB66A5" w:rsidRPr="00BB66A5" w:rsidRDefault="00BB66A5" w:rsidP="00BB66A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59C28" w14:textId="77777777" w:rsidR="00BB66A5" w:rsidRPr="00BB66A5" w:rsidRDefault="00BB66A5" w:rsidP="00BB66A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8DFE3" w14:textId="306D4BF5" w:rsidR="00490F94" w:rsidRDefault="00490F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49CE2" w14:textId="6C07C14E" w:rsidR="00490F94" w:rsidRPr="00750190" w:rsidRDefault="00490F94">
    <w:pPr>
      <w:pStyle w:val="Header"/>
      <w:jc w:val="right"/>
      <w:rPr>
        <w:b/>
        <w:bCs/>
        <w:i/>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2E86B" w14:textId="11421D5E" w:rsidR="00490F94" w:rsidRDefault="00490F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A6B87"/>
    <w:multiLevelType w:val="hybridMultilevel"/>
    <w:tmpl w:val="E79E3AD4"/>
    <w:lvl w:ilvl="0" w:tplc="4C22143A">
      <w:start w:val="1"/>
      <w:numFmt w:val="bullet"/>
      <w:lvlText w:val=""/>
      <w:lvlJc w:val="left"/>
      <w:pPr>
        <w:ind w:left="1080" w:hanging="360"/>
      </w:pPr>
      <w:rPr>
        <w:rFonts w:ascii="Symbol" w:hAnsi="Symbol"/>
      </w:rPr>
    </w:lvl>
    <w:lvl w:ilvl="1" w:tplc="41CC7EAC">
      <w:start w:val="1"/>
      <w:numFmt w:val="bullet"/>
      <w:lvlText w:val=""/>
      <w:lvlJc w:val="left"/>
      <w:pPr>
        <w:ind w:left="1080" w:hanging="360"/>
      </w:pPr>
      <w:rPr>
        <w:rFonts w:ascii="Symbol" w:hAnsi="Symbol"/>
      </w:rPr>
    </w:lvl>
    <w:lvl w:ilvl="2" w:tplc="008C36BC">
      <w:start w:val="1"/>
      <w:numFmt w:val="bullet"/>
      <w:lvlText w:val=""/>
      <w:lvlJc w:val="left"/>
      <w:pPr>
        <w:ind w:left="1080" w:hanging="360"/>
      </w:pPr>
      <w:rPr>
        <w:rFonts w:ascii="Symbol" w:hAnsi="Symbol"/>
      </w:rPr>
    </w:lvl>
    <w:lvl w:ilvl="3" w:tplc="2F82F788">
      <w:start w:val="1"/>
      <w:numFmt w:val="bullet"/>
      <w:lvlText w:val=""/>
      <w:lvlJc w:val="left"/>
      <w:pPr>
        <w:ind w:left="1080" w:hanging="360"/>
      </w:pPr>
      <w:rPr>
        <w:rFonts w:ascii="Symbol" w:hAnsi="Symbol"/>
      </w:rPr>
    </w:lvl>
    <w:lvl w:ilvl="4" w:tplc="C6C29296">
      <w:start w:val="1"/>
      <w:numFmt w:val="bullet"/>
      <w:lvlText w:val=""/>
      <w:lvlJc w:val="left"/>
      <w:pPr>
        <w:ind w:left="1080" w:hanging="360"/>
      </w:pPr>
      <w:rPr>
        <w:rFonts w:ascii="Symbol" w:hAnsi="Symbol"/>
      </w:rPr>
    </w:lvl>
    <w:lvl w:ilvl="5" w:tplc="19309E24">
      <w:start w:val="1"/>
      <w:numFmt w:val="bullet"/>
      <w:lvlText w:val=""/>
      <w:lvlJc w:val="left"/>
      <w:pPr>
        <w:ind w:left="1080" w:hanging="360"/>
      </w:pPr>
      <w:rPr>
        <w:rFonts w:ascii="Symbol" w:hAnsi="Symbol"/>
      </w:rPr>
    </w:lvl>
    <w:lvl w:ilvl="6" w:tplc="57EA279A">
      <w:start w:val="1"/>
      <w:numFmt w:val="bullet"/>
      <w:lvlText w:val=""/>
      <w:lvlJc w:val="left"/>
      <w:pPr>
        <w:ind w:left="1080" w:hanging="360"/>
      </w:pPr>
      <w:rPr>
        <w:rFonts w:ascii="Symbol" w:hAnsi="Symbol"/>
      </w:rPr>
    </w:lvl>
    <w:lvl w:ilvl="7" w:tplc="959E3680">
      <w:start w:val="1"/>
      <w:numFmt w:val="bullet"/>
      <w:lvlText w:val=""/>
      <w:lvlJc w:val="left"/>
      <w:pPr>
        <w:ind w:left="1080" w:hanging="360"/>
      </w:pPr>
      <w:rPr>
        <w:rFonts w:ascii="Symbol" w:hAnsi="Symbol"/>
      </w:rPr>
    </w:lvl>
    <w:lvl w:ilvl="8" w:tplc="4A9A6F06">
      <w:start w:val="1"/>
      <w:numFmt w:val="bullet"/>
      <w:lvlText w:val=""/>
      <w:lvlJc w:val="left"/>
      <w:pPr>
        <w:ind w:left="1080" w:hanging="360"/>
      </w:pPr>
      <w:rPr>
        <w:rFonts w:ascii="Symbol" w:hAnsi="Symbol"/>
      </w:rPr>
    </w:lvl>
  </w:abstractNum>
  <w:abstractNum w:abstractNumId="1"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DF46941"/>
    <w:multiLevelType w:val="hybridMultilevel"/>
    <w:tmpl w:val="7B3ABE4E"/>
    <w:lvl w:ilvl="0" w:tplc="2B04830C">
      <w:start w:val="1"/>
      <w:numFmt w:val="bullet"/>
      <w:lvlText w:val=""/>
      <w:lvlJc w:val="left"/>
      <w:pPr>
        <w:ind w:left="1080" w:hanging="360"/>
      </w:pPr>
      <w:rPr>
        <w:rFonts w:ascii="Symbol" w:hAnsi="Symbol"/>
      </w:rPr>
    </w:lvl>
    <w:lvl w:ilvl="1" w:tplc="EA56A230">
      <w:start w:val="1"/>
      <w:numFmt w:val="bullet"/>
      <w:lvlText w:val=""/>
      <w:lvlJc w:val="left"/>
      <w:pPr>
        <w:ind w:left="1080" w:hanging="360"/>
      </w:pPr>
      <w:rPr>
        <w:rFonts w:ascii="Symbol" w:hAnsi="Symbol"/>
      </w:rPr>
    </w:lvl>
    <w:lvl w:ilvl="2" w:tplc="8A7C5056">
      <w:start w:val="1"/>
      <w:numFmt w:val="bullet"/>
      <w:lvlText w:val=""/>
      <w:lvlJc w:val="left"/>
      <w:pPr>
        <w:ind w:left="1080" w:hanging="360"/>
      </w:pPr>
      <w:rPr>
        <w:rFonts w:ascii="Symbol" w:hAnsi="Symbol"/>
      </w:rPr>
    </w:lvl>
    <w:lvl w:ilvl="3" w:tplc="8A4054B8">
      <w:start w:val="1"/>
      <w:numFmt w:val="bullet"/>
      <w:lvlText w:val=""/>
      <w:lvlJc w:val="left"/>
      <w:pPr>
        <w:ind w:left="1080" w:hanging="360"/>
      </w:pPr>
      <w:rPr>
        <w:rFonts w:ascii="Symbol" w:hAnsi="Symbol"/>
      </w:rPr>
    </w:lvl>
    <w:lvl w:ilvl="4" w:tplc="66C4F90C">
      <w:start w:val="1"/>
      <w:numFmt w:val="bullet"/>
      <w:lvlText w:val=""/>
      <w:lvlJc w:val="left"/>
      <w:pPr>
        <w:ind w:left="1080" w:hanging="360"/>
      </w:pPr>
      <w:rPr>
        <w:rFonts w:ascii="Symbol" w:hAnsi="Symbol"/>
      </w:rPr>
    </w:lvl>
    <w:lvl w:ilvl="5" w:tplc="D8D86C5A">
      <w:start w:val="1"/>
      <w:numFmt w:val="bullet"/>
      <w:lvlText w:val=""/>
      <w:lvlJc w:val="left"/>
      <w:pPr>
        <w:ind w:left="1080" w:hanging="360"/>
      </w:pPr>
      <w:rPr>
        <w:rFonts w:ascii="Symbol" w:hAnsi="Symbol"/>
      </w:rPr>
    </w:lvl>
    <w:lvl w:ilvl="6" w:tplc="22B86F16">
      <w:start w:val="1"/>
      <w:numFmt w:val="bullet"/>
      <w:lvlText w:val=""/>
      <w:lvlJc w:val="left"/>
      <w:pPr>
        <w:ind w:left="1080" w:hanging="360"/>
      </w:pPr>
      <w:rPr>
        <w:rFonts w:ascii="Symbol" w:hAnsi="Symbol"/>
      </w:rPr>
    </w:lvl>
    <w:lvl w:ilvl="7" w:tplc="09A8BBB2">
      <w:start w:val="1"/>
      <w:numFmt w:val="bullet"/>
      <w:lvlText w:val=""/>
      <w:lvlJc w:val="left"/>
      <w:pPr>
        <w:ind w:left="1080" w:hanging="360"/>
      </w:pPr>
      <w:rPr>
        <w:rFonts w:ascii="Symbol" w:hAnsi="Symbol"/>
      </w:rPr>
    </w:lvl>
    <w:lvl w:ilvl="8" w:tplc="2C0070AC">
      <w:start w:val="1"/>
      <w:numFmt w:val="bullet"/>
      <w:lvlText w:val=""/>
      <w:lvlJc w:val="left"/>
      <w:pPr>
        <w:ind w:left="1080" w:hanging="360"/>
      </w:pPr>
      <w:rPr>
        <w:rFonts w:ascii="Symbol" w:hAnsi="Symbol"/>
      </w:rPr>
    </w:lvl>
  </w:abstractNum>
  <w:abstractNum w:abstractNumId="3"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327476A"/>
    <w:multiLevelType w:val="hybridMultilevel"/>
    <w:tmpl w:val="BC04765E"/>
    <w:lvl w:ilvl="0" w:tplc="6DBC21C4">
      <w:start w:val="1"/>
      <w:numFmt w:val="decimal"/>
      <w:lvlText w:val="%1."/>
      <w:lvlJc w:val="left"/>
      <w:pPr>
        <w:ind w:left="1440" w:hanging="360"/>
      </w:pPr>
    </w:lvl>
    <w:lvl w:ilvl="1" w:tplc="E6DAE048">
      <w:start w:val="1"/>
      <w:numFmt w:val="decimal"/>
      <w:lvlText w:val="%2."/>
      <w:lvlJc w:val="left"/>
      <w:pPr>
        <w:ind w:left="1440" w:hanging="360"/>
      </w:pPr>
    </w:lvl>
    <w:lvl w:ilvl="2" w:tplc="DAFC95B8">
      <w:start w:val="1"/>
      <w:numFmt w:val="decimal"/>
      <w:lvlText w:val="%3."/>
      <w:lvlJc w:val="left"/>
      <w:pPr>
        <w:ind w:left="1440" w:hanging="360"/>
      </w:pPr>
    </w:lvl>
    <w:lvl w:ilvl="3" w:tplc="6220C78A">
      <w:start w:val="1"/>
      <w:numFmt w:val="decimal"/>
      <w:lvlText w:val="%4."/>
      <w:lvlJc w:val="left"/>
      <w:pPr>
        <w:ind w:left="1440" w:hanging="360"/>
      </w:pPr>
    </w:lvl>
    <w:lvl w:ilvl="4" w:tplc="AD24C2B6">
      <w:start w:val="1"/>
      <w:numFmt w:val="decimal"/>
      <w:lvlText w:val="%5."/>
      <w:lvlJc w:val="left"/>
      <w:pPr>
        <w:ind w:left="1440" w:hanging="360"/>
      </w:pPr>
    </w:lvl>
    <w:lvl w:ilvl="5" w:tplc="65E44D10">
      <w:start w:val="1"/>
      <w:numFmt w:val="decimal"/>
      <w:lvlText w:val="%6."/>
      <w:lvlJc w:val="left"/>
      <w:pPr>
        <w:ind w:left="1440" w:hanging="360"/>
      </w:pPr>
    </w:lvl>
    <w:lvl w:ilvl="6" w:tplc="B406CB6A">
      <w:start w:val="1"/>
      <w:numFmt w:val="decimal"/>
      <w:lvlText w:val="%7."/>
      <w:lvlJc w:val="left"/>
      <w:pPr>
        <w:ind w:left="1440" w:hanging="360"/>
      </w:pPr>
    </w:lvl>
    <w:lvl w:ilvl="7" w:tplc="3838127C">
      <w:start w:val="1"/>
      <w:numFmt w:val="decimal"/>
      <w:lvlText w:val="%8."/>
      <w:lvlJc w:val="left"/>
      <w:pPr>
        <w:ind w:left="1440" w:hanging="360"/>
      </w:pPr>
    </w:lvl>
    <w:lvl w:ilvl="8" w:tplc="671AAEFC">
      <w:start w:val="1"/>
      <w:numFmt w:val="decimal"/>
      <w:lvlText w:val="%9."/>
      <w:lvlJc w:val="left"/>
      <w:pPr>
        <w:ind w:left="1440" w:hanging="360"/>
      </w:pPr>
    </w:lvl>
  </w:abstractNum>
  <w:abstractNum w:abstractNumId="11"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5" w15:restartNumberingAfterBreak="0">
    <w:nsid w:val="33AD4136"/>
    <w:multiLevelType w:val="hybridMultilevel"/>
    <w:tmpl w:val="EB1ACE10"/>
    <w:lvl w:ilvl="0" w:tplc="F0FCA584">
      <w:start w:val="1"/>
      <w:numFmt w:val="bullet"/>
      <w:lvlText w:val=""/>
      <w:lvlJc w:val="left"/>
      <w:pPr>
        <w:ind w:left="720" w:hanging="360"/>
      </w:pPr>
      <w:rPr>
        <w:rFonts w:ascii="Symbol" w:hAnsi="Symbol"/>
      </w:rPr>
    </w:lvl>
    <w:lvl w:ilvl="1" w:tplc="298E8A46">
      <w:start w:val="1"/>
      <w:numFmt w:val="bullet"/>
      <w:lvlText w:val=""/>
      <w:lvlJc w:val="left"/>
      <w:pPr>
        <w:ind w:left="720" w:hanging="360"/>
      </w:pPr>
      <w:rPr>
        <w:rFonts w:ascii="Symbol" w:hAnsi="Symbol"/>
      </w:rPr>
    </w:lvl>
    <w:lvl w:ilvl="2" w:tplc="46408E80">
      <w:start w:val="1"/>
      <w:numFmt w:val="bullet"/>
      <w:lvlText w:val=""/>
      <w:lvlJc w:val="left"/>
      <w:pPr>
        <w:ind w:left="720" w:hanging="360"/>
      </w:pPr>
      <w:rPr>
        <w:rFonts w:ascii="Symbol" w:hAnsi="Symbol"/>
      </w:rPr>
    </w:lvl>
    <w:lvl w:ilvl="3" w:tplc="3A6CB37A">
      <w:start w:val="1"/>
      <w:numFmt w:val="bullet"/>
      <w:lvlText w:val=""/>
      <w:lvlJc w:val="left"/>
      <w:pPr>
        <w:ind w:left="720" w:hanging="360"/>
      </w:pPr>
      <w:rPr>
        <w:rFonts w:ascii="Symbol" w:hAnsi="Symbol"/>
      </w:rPr>
    </w:lvl>
    <w:lvl w:ilvl="4" w:tplc="DA2089AE">
      <w:start w:val="1"/>
      <w:numFmt w:val="bullet"/>
      <w:lvlText w:val=""/>
      <w:lvlJc w:val="left"/>
      <w:pPr>
        <w:ind w:left="720" w:hanging="360"/>
      </w:pPr>
      <w:rPr>
        <w:rFonts w:ascii="Symbol" w:hAnsi="Symbol"/>
      </w:rPr>
    </w:lvl>
    <w:lvl w:ilvl="5" w:tplc="43186ADC">
      <w:start w:val="1"/>
      <w:numFmt w:val="bullet"/>
      <w:lvlText w:val=""/>
      <w:lvlJc w:val="left"/>
      <w:pPr>
        <w:ind w:left="720" w:hanging="360"/>
      </w:pPr>
      <w:rPr>
        <w:rFonts w:ascii="Symbol" w:hAnsi="Symbol"/>
      </w:rPr>
    </w:lvl>
    <w:lvl w:ilvl="6" w:tplc="0ECC0370">
      <w:start w:val="1"/>
      <w:numFmt w:val="bullet"/>
      <w:lvlText w:val=""/>
      <w:lvlJc w:val="left"/>
      <w:pPr>
        <w:ind w:left="720" w:hanging="360"/>
      </w:pPr>
      <w:rPr>
        <w:rFonts w:ascii="Symbol" w:hAnsi="Symbol"/>
      </w:rPr>
    </w:lvl>
    <w:lvl w:ilvl="7" w:tplc="3A52CF22">
      <w:start w:val="1"/>
      <w:numFmt w:val="bullet"/>
      <w:lvlText w:val=""/>
      <w:lvlJc w:val="left"/>
      <w:pPr>
        <w:ind w:left="720" w:hanging="360"/>
      </w:pPr>
      <w:rPr>
        <w:rFonts w:ascii="Symbol" w:hAnsi="Symbol"/>
      </w:rPr>
    </w:lvl>
    <w:lvl w:ilvl="8" w:tplc="CCB6E956">
      <w:start w:val="1"/>
      <w:numFmt w:val="bullet"/>
      <w:lvlText w:val=""/>
      <w:lvlJc w:val="left"/>
      <w:pPr>
        <w:ind w:left="720" w:hanging="360"/>
      </w:pPr>
      <w:rPr>
        <w:rFonts w:ascii="Symbol" w:hAnsi="Symbol"/>
      </w:rPr>
    </w:lvl>
  </w:abstractNum>
  <w:abstractNum w:abstractNumId="16"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F3C6A74"/>
    <w:multiLevelType w:val="hybridMultilevel"/>
    <w:tmpl w:val="6A0842B0"/>
    <w:lvl w:ilvl="0" w:tplc="AECC4720">
      <w:start w:val="1"/>
      <w:numFmt w:val="bullet"/>
      <w:lvlText w:val=""/>
      <w:lvlJc w:val="left"/>
      <w:pPr>
        <w:ind w:left="1080" w:hanging="360"/>
      </w:pPr>
      <w:rPr>
        <w:rFonts w:ascii="Symbol" w:hAnsi="Symbol"/>
      </w:rPr>
    </w:lvl>
    <w:lvl w:ilvl="1" w:tplc="04A8EB7C">
      <w:start w:val="1"/>
      <w:numFmt w:val="bullet"/>
      <w:lvlText w:val=""/>
      <w:lvlJc w:val="left"/>
      <w:pPr>
        <w:ind w:left="1080" w:hanging="360"/>
      </w:pPr>
      <w:rPr>
        <w:rFonts w:ascii="Symbol" w:hAnsi="Symbol"/>
      </w:rPr>
    </w:lvl>
    <w:lvl w:ilvl="2" w:tplc="9D902D74">
      <w:start w:val="1"/>
      <w:numFmt w:val="bullet"/>
      <w:lvlText w:val=""/>
      <w:lvlJc w:val="left"/>
      <w:pPr>
        <w:ind w:left="1080" w:hanging="360"/>
      </w:pPr>
      <w:rPr>
        <w:rFonts w:ascii="Symbol" w:hAnsi="Symbol"/>
      </w:rPr>
    </w:lvl>
    <w:lvl w:ilvl="3" w:tplc="41ACBCAE">
      <w:start w:val="1"/>
      <w:numFmt w:val="bullet"/>
      <w:lvlText w:val=""/>
      <w:lvlJc w:val="left"/>
      <w:pPr>
        <w:ind w:left="1080" w:hanging="360"/>
      </w:pPr>
      <w:rPr>
        <w:rFonts w:ascii="Symbol" w:hAnsi="Symbol"/>
      </w:rPr>
    </w:lvl>
    <w:lvl w:ilvl="4" w:tplc="E7E6EBD0">
      <w:start w:val="1"/>
      <w:numFmt w:val="bullet"/>
      <w:lvlText w:val=""/>
      <w:lvlJc w:val="left"/>
      <w:pPr>
        <w:ind w:left="1080" w:hanging="360"/>
      </w:pPr>
      <w:rPr>
        <w:rFonts w:ascii="Symbol" w:hAnsi="Symbol"/>
      </w:rPr>
    </w:lvl>
    <w:lvl w:ilvl="5" w:tplc="29D093A6">
      <w:start w:val="1"/>
      <w:numFmt w:val="bullet"/>
      <w:lvlText w:val=""/>
      <w:lvlJc w:val="left"/>
      <w:pPr>
        <w:ind w:left="1080" w:hanging="360"/>
      </w:pPr>
      <w:rPr>
        <w:rFonts w:ascii="Symbol" w:hAnsi="Symbol"/>
      </w:rPr>
    </w:lvl>
    <w:lvl w:ilvl="6" w:tplc="ED6E354E">
      <w:start w:val="1"/>
      <w:numFmt w:val="bullet"/>
      <w:lvlText w:val=""/>
      <w:lvlJc w:val="left"/>
      <w:pPr>
        <w:ind w:left="1080" w:hanging="360"/>
      </w:pPr>
      <w:rPr>
        <w:rFonts w:ascii="Symbol" w:hAnsi="Symbol"/>
      </w:rPr>
    </w:lvl>
    <w:lvl w:ilvl="7" w:tplc="78107FCA">
      <w:start w:val="1"/>
      <w:numFmt w:val="bullet"/>
      <w:lvlText w:val=""/>
      <w:lvlJc w:val="left"/>
      <w:pPr>
        <w:ind w:left="1080" w:hanging="360"/>
      </w:pPr>
      <w:rPr>
        <w:rFonts w:ascii="Symbol" w:hAnsi="Symbol"/>
      </w:rPr>
    </w:lvl>
    <w:lvl w:ilvl="8" w:tplc="F57EABB4">
      <w:start w:val="1"/>
      <w:numFmt w:val="bullet"/>
      <w:lvlText w:val=""/>
      <w:lvlJc w:val="left"/>
      <w:pPr>
        <w:ind w:left="1080" w:hanging="360"/>
      </w:pPr>
      <w:rPr>
        <w:rFonts w:ascii="Symbol" w:hAnsi="Symbol"/>
      </w:rPr>
    </w:lvl>
  </w:abstractNum>
  <w:abstractNum w:abstractNumId="24"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B8D06E3"/>
    <w:multiLevelType w:val="hybridMultilevel"/>
    <w:tmpl w:val="A98032EA"/>
    <w:lvl w:ilvl="0" w:tplc="B06EF06C">
      <w:start w:val="1"/>
      <w:numFmt w:val="bullet"/>
      <w:lvlText w:val=""/>
      <w:lvlJc w:val="left"/>
      <w:pPr>
        <w:ind w:left="720" w:hanging="360"/>
      </w:pPr>
      <w:rPr>
        <w:rFonts w:ascii="Symbol" w:hAnsi="Symbol"/>
      </w:rPr>
    </w:lvl>
    <w:lvl w:ilvl="1" w:tplc="0AF22DFA">
      <w:start w:val="1"/>
      <w:numFmt w:val="bullet"/>
      <w:lvlText w:val=""/>
      <w:lvlJc w:val="left"/>
      <w:pPr>
        <w:ind w:left="720" w:hanging="360"/>
      </w:pPr>
      <w:rPr>
        <w:rFonts w:ascii="Symbol" w:hAnsi="Symbol"/>
      </w:rPr>
    </w:lvl>
    <w:lvl w:ilvl="2" w:tplc="3BB0457C">
      <w:start w:val="1"/>
      <w:numFmt w:val="bullet"/>
      <w:lvlText w:val=""/>
      <w:lvlJc w:val="left"/>
      <w:pPr>
        <w:ind w:left="720" w:hanging="360"/>
      </w:pPr>
      <w:rPr>
        <w:rFonts w:ascii="Symbol" w:hAnsi="Symbol"/>
      </w:rPr>
    </w:lvl>
    <w:lvl w:ilvl="3" w:tplc="27F8AB8E">
      <w:start w:val="1"/>
      <w:numFmt w:val="bullet"/>
      <w:lvlText w:val=""/>
      <w:lvlJc w:val="left"/>
      <w:pPr>
        <w:ind w:left="720" w:hanging="360"/>
      </w:pPr>
      <w:rPr>
        <w:rFonts w:ascii="Symbol" w:hAnsi="Symbol"/>
      </w:rPr>
    </w:lvl>
    <w:lvl w:ilvl="4" w:tplc="E780DE14">
      <w:start w:val="1"/>
      <w:numFmt w:val="bullet"/>
      <w:lvlText w:val=""/>
      <w:lvlJc w:val="left"/>
      <w:pPr>
        <w:ind w:left="720" w:hanging="360"/>
      </w:pPr>
      <w:rPr>
        <w:rFonts w:ascii="Symbol" w:hAnsi="Symbol"/>
      </w:rPr>
    </w:lvl>
    <w:lvl w:ilvl="5" w:tplc="2088773A">
      <w:start w:val="1"/>
      <w:numFmt w:val="bullet"/>
      <w:lvlText w:val=""/>
      <w:lvlJc w:val="left"/>
      <w:pPr>
        <w:ind w:left="720" w:hanging="360"/>
      </w:pPr>
      <w:rPr>
        <w:rFonts w:ascii="Symbol" w:hAnsi="Symbol"/>
      </w:rPr>
    </w:lvl>
    <w:lvl w:ilvl="6" w:tplc="7DB4EBCC">
      <w:start w:val="1"/>
      <w:numFmt w:val="bullet"/>
      <w:lvlText w:val=""/>
      <w:lvlJc w:val="left"/>
      <w:pPr>
        <w:ind w:left="720" w:hanging="360"/>
      </w:pPr>
      <w:rPr>
        <w:rFonts w:ascii="Symbol" w:hAnsi="Symbol"/>
      </w:rPr>
    </w:lvl>
    <w:lvl w:ilvl="7" w:tplc="8EFAB542">
      <w:start w:val="1"/>
      <w:numFmt w:val="bullet"/>
      <w:lvlText w:val=""/>
      <w:lvlJc w:val="left"/>
      <w:pPr>
        <w:ind w:left="720" w:hanging="360"/>
      </w:pPr>
      <w:rPr>
        <w:rFonts w:ascii="Symbol" w:hAnsi="Symbol"/>
      </w:rPr>
    </w:lvl>
    <w:lvl w:ilvl="8" w:tplc="4DE260BA">
      <w:start w:val="1"/>
      <w:numFmt w:val="bullet"/>
      <w:lvlText w:val=""/>
      <w:lvlJc w:val="left"/>
      <w:pPr>
        <w:ind w:left="720" w:hanging="360"/>
      </w:pPr>
      <w:rPr>
        <w:rFonts w:ascii="Symbol" w:hAnsi="Symbol"/>
      </w:rPr>
    </w:lvl>
  </w:abstractNum>
  <w:abstractNum w:abstractNumId="26" w15:restartNumberingAfterBreak="0">
    <w:nsid w:val="5C4D434D"/>
    <w:multiLevelType w:val="hybridMultilevel"/>
    <w:tmpl w:val="496AEA10"/>
    <w:lvl w:ilvl="0" w:tplc="26387848">
      <w:start w:val="1"/>
      <w:numFmt w:val="bullet"/>
      <w:lvlText w:val=""/>
      <w:lvlJc w:val="left"/>
      <w:pPr>
        <w:ind w:left="720" w:hanging="360"/>
      </w:pPr>
      <w:rPr>
        <w:rFonts w:ascii="Symbol" w:hAnsi="Symbol"/>
      </w:rPr>
    </w:lvl>
    <w:lvl w:ilvl="1" w:tplc="CD4A0574">
      <w:start w:val="1"/>
      <w:numFmt w:val="bullet"/>
      <w:lvlText w:val=""/>
      <w:lvlJc w:val="left"/>
      <w:pPr>
        <w:ind w:left="720" w:hanging="360"/>
      </w:pPr>
      <w:rPr>
        <w:rFonts w:ascii="Symbol" w:hAnsi="Symbol"/>
      </w:rPr>
    </w:lvl>
    <w:lvl w:ilvl="2" w:tplc="A312722E">
      <w:start w:val="1"/>
      <w:numFmt w:val="bullet"/>
      <w:lvlText w:val=""/>
      <w:lvlJc w:val="left"/>
      <w:pPr>
        <w:ind w:left="720" w:hanging="360"/>
      </w:pPr>
      <w:rPr>
        <w:rFonts w:ascii="Symbol" w:hAnsi="Symbol"/>
      </w:rPr>
    </w:lvl>
    <w:lvl w:ilvl="3" w:tplc="E996DF4E">
      <w:start w:val="1"/>
      <w:numFmt w:val="bullet"/>
      <w:lvlText w:val=""/>
      <w:lvlJc w:val="left"/>
      <w:pPr>
        <w:ind w:left="720" w:hanging="360"/>
      </w:pPr>
      <w:rPr>
        <w:rFonts w:ascii="Symbol" w:hAnsi="Symbol"/>
      </w:rPr>
    </w:lvl>
    <w:lvl w:ilvl="4" w:tplc="681ECB24">
      <w:start w:val="1"/>
      <w:numFmt w:val="bullet"/>
      <w:lvlText w:val=""/>
      <w:lvlJc w:val="left"/>
      <w:pPr>
        <w:ind w:left="720" w:hanging="360"/>
      </w:pPr>
      <w:rPr>
        <w:rFonts w:ascii="Symbol" w:hAnsi="Symbol"/>
      </w:rPr>
    </w:lvl>
    <w:lvl w:ilvl="5" w:tplc="C1124A28">
      <w:start w:val="1"/>
      <w:numFmt w:val="bullet"/>
      <w:lvlText w:val=""/>
      <w:lvlJc w:val="left"/>
      <w:pPr>
        <w:ind w:left="720" w:hanging="360"/>
      </w:pPr>
      <w:rPr>
        <w:rFonts w:ascii="Symbol" w:hAnsi="Symbol"/>
      </w:rPr>
    </w:lvl>
    <w:lvl w:ilvl="6" w:tplc="30941142">
      <w:start w:val="1"/>
      <w:numFmt w:val="bullet"/>
      <w:lvlText w:val=""/>
      <w:lvlJc w:val="left"/>
      <w:pPr>
        <w:ind w:left="720" w:hanging="360"/>
      </w:pPr>
      <w:rPr>
        <w:rFonts w:ascii="Symbol" w:hAnsi="Symbol"/>
      </w:rPr>
    </w:lvl>
    <w:lvl w:ilvl="7" w:tplc="734A73A6">
      <w:start w:val="1"/>
      <w:numFmt w:val="bullet"/>
      <w:lvlText w:val=""/>
      <w:lvlJc w:val="left"/>
      <w:pPr>
        <w:ind w:left="720" w:hanging="360"/>
      </w:pPr>
      <w:rPr>
        <w:rFonts w:ascii="Symbol" w:hAnsi="Symbol"/>
      </w:rPr>
    </w:lvl>
    <w:lvl w:ilvl="8" w:tplc="37CC1136">
      <w:start w:val="1"/>
      <w:numFmt w:val="bullet"/>
      <w:lvlText w:val=""/>
      <w:lvlJc w:val="left"/>
      <w:pPr>
        <w:ind w:left="720" w:hanging="360"/>
      </w:pPr>
      <w:rPr>
        <w:rFonts w:ascii="Symbol" w:hAnsi="Symbol"/>
      </w:rPr>
    </w:lvl>
  </w:abstractNum>
  <w:abstractNum w:abstractNumId="27"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8" w15:restartNumberingAfterBreak="0">
    <w:nsid w:val="627F7A69"/>
    <w:multiLevelType w:val="hybridMultilevel"/>
    <w:tmpl w:val="CDEE97A2"/>
    <w:lvl w:ilvl="0" w:tplc="B254ED4A">
      <w:start w:val="1"/>
      <w:numFmt w:val="bullet"/>
      <w:lvlText w:val=""/>
      <w:lvlJc w:val="left"/>
      <w:pPr>
        <w:ind w:left="2160" w:hanging="360"/>
      </w:pPr>
      <w:rPr>
        <w:rFonts w:ascii="Symbol" w:hAnsi="Symbol"/>
      </w:rPr>
    </w:lvl>
    <w:lvl w:ilvl="1" w:tplc="C636A1B0">
      <w:start w:val="1"/>
      <w:numFmt w:val="bullet"/>
      <w:lvlText w:val=""/>
      <w:lvlJc w:val="left"/>
      <w:pPr>
        <w:ind w:left="2160" w:hanging="360"/>
      </w:pPr>
      <w:rPr>
        <w:rFonts w:ascii="Symbol" w:hAnsi="Symbol"/>
      </w:rPr>
    </w:lvl>
    <w:lvl w:ilvl="2" w:tplc="8E861232">
      <w:start w:val="1"/>
      <w:numFmt w:val="bullet"/>
      <w:lvlText w:val=""/>
      <w:lvlJc w:val="left"/>
      <w:pPr>
        <w:ind w:left="2160" w:hanging="360"/>
      </w:pPr>
      <w:rPr>
        <w:rFonts w:ascii="Symbol" w:hAnsi="Symbol"/>
      </w:rPr>
    </w:lvl>
    <w:lvl w:ilvl="3" w:tplc="6804E484">
      <w:start w:val="1"/>
      <w:numFmt w:val="bullet"/>
      <w:lvlText w:val=""/>
      <w:lvlJc w:val="left"/>
      <w:pPr>
        <w:ind w:left="2160" w:hanging="360"/>
      </w:pPr>
      <w:rPr>
        <w:rFonts w:ascii="Symbol" w:hAnsi="Symbol"/>
      </w:rPr>
    </w:lvl>
    <w:lvl w:ilvl="4" w:tplc="21A66360">
      <w:start w:val="1"/>
      <w:numFmt w:val="bullet"/>
      <w:lvlText w:val=""/>
      <w:lvlJc w:val="left"/>
      <w:pPr>
        <w:ind w:left="2160" w:hanging="360"/>
      </w:pPr>
      <w:rPr>
        <w:rFonts w:ascii="Symbol" w:hAnsi="Symbol"/>
      </w:rPr>
    </w:lvl>
    <w:lvl w:ilvl="5" w:tplc="DCA070A6">
      <w:start w:val="1"/>
      <w:numFmt w:val="bullet"/>
      <w:lvlText w:val=""/>
      <w:lvlJc w:val="left"/>
      <w:pPr>
        <w:ind w:left="2160" w:hanging="360"/>
      </w:pPr>
      <w:rPr>
        <w:rFonts w:ascii="Symbol" w:hAnsi="Symbol"/>
      </w:rPr>
    </w:lvl>
    <w:lvl w:ilvl="6" w:tplc="1AB04A26">
      <w:start w:val="1"/>
      <w:numFmt w:val="bullet"/>
      <w:lvlText w:val=""/>
      <w:lvlJc w:val="left"/>
      <w:pPr>
        <w:ind w:left="2160" w:hanging="360"/>
      </w:pPr>
      <w:rPr>
        <w:rFonts w:ascii="Symbol" w:hAnsi="Symbol"/>
      </w:rPr>
    </w:lvl>
    <w:lvl w:ilvl="7" w:tplc="0A36FCAC">
      <w:start w:val="1"/>
      <w:numFmt w:val="bullet"/>
      <w:lvlText w:val=""/>
      <w:lvlJc w:val="left"/>
      <w:pPr>
        <w:ind w:left="2160" w:hanging="360"/>
      </w:pPr>
      <w:rPr>
        <w:rFonts w:ascii="Symbol" w:hAnsi="Symbol"/>
      </w:rPr>
    </w:lvl>
    <w:lvl w:ilvl="8" w:tplc="E11C7588">
      <w:start w:val="1"/>
      <w:numFmt w:val="bullet"/>
      <w:lvlText w:val=""/>
      <w:lvlJc w:val="left"/>
      <w:pPr>
        <w:ind w:left="2160" w:hanging="360"/>
      </w:pPr>
      <w:rPr>
        <w:rFonts w:ascii="Symbol" w:hAnsi="Symbol"/>
      </w:rPr>
    </w:lvl>
  </w:abstractNum>
  <w:abstractNum w:abstractNumId="29" w15:restartNumberingAfterBreak="0">
    <w:nsid w:val="66093060"/>
    <w:multiLevelType w:val="hybridMultilevel"/>
    <w:tmpl w:val="2EE8D7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6BEF7CCA"/>
    <w:multiLevelType w:val="hybridMultilevel"/>
    <w:tmpl w:val="091CB70E"/>
    <w:lvl w:ilvl="0" w:tplc="F14A2EAC">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9434F3D"/>
    <w:multiLevelType w:val="hybridMultilevel"/>
    <w:tmpl w:val="2566193C"/>
    <w:lvl w:ilvl="0" w:tplc="9C2E4018">
      <w:start w:val="1"/>
      <w:numFmt w:val="bullet"/>
      <w:lvlText w:val=""/>
      <w:lvlJc w:val="left"/>
      <w:pPr>
        <w:ind w:left="1080" w:hanging="360"/>
      </w:pPr>
      <w:rPr>
        <w:rFonts w:ascii="Symbol" w:hAnsi="Symbol"/>
      </w:rPr>
    </w:lvl>
    <w:lvl w:ilvl="1" w:tplc="5D6AFDE0">
      <w:start w:val="1"/>
      <w:numFmt w:val="bullet"/>
      <w:lvlText w:val=""/>
      <w:lvlJc w:val="left"/>
      <w:pPr>
        <w:ind w:left="1080" w:hanging="360"/>
      </w:pPr>
      <w:rPr>
        <w:rFonts w:ascii="Symbol" w:hAnsi="Symbol"/>
      </w:rPr>
    </w:lvl>
    <w:lvl w:ilvl="2" w:tplc="20CA6CD2">
      <w:start w:val="1"/>
      <w:numFmt w:val="bullet"/>
      <w:lvlText w:val=""/>
      <w:lvlJc w:val="left"/>
      <w:pPr>
        <w:ind w:left="1080" w:hanging="360"/>
      </w:pPr>
      <w:rPr>
        <w:rFonts w:ascii="Symbol" w:hAnsi="Symbol"/>
      </w:rPr>
    </w:lvl>
    <w:lvl w:ilvl="3" w:tplc="1A521436">
      <w:start w:val="1"/>
      <w:numFmt w:val="bullet"/>
      <w:lvlText w:val=""/>
      <w:lvlJc w:val="left"/>
      <w:pPr>
        <w:ind w:left="1080" w:hanging="360"/>
      </w:pPr>
      <w:rPr>
        <w:rFonts w:ascii="Symbol" w:hAnsi="Symbol"/>
      </w:rPr>
    </w:lvl>
    <w:lvl w:ilvl="4" w:tplc="CA104E4E">
      <w:start w:val="1"/>
      <w:numFmt w:val="bullet"/>
      <w:lvlText w:val=""/>
      <w:lvlJc w:val="left"/>
      <w:pPr>
        <w:ind w:left="1080" w:hanging="360"/>
      </w:pPr>
      <w:rPr>
        <w:rFonts w:ascii="Symbol" w:hAnsi="Symbol"/>
      </w:rPr>
    </w:lvl>
    <w:lvl w:ilvl="5" w:tplc="66B81D84">
      <w:start w:val="1"/>
      <w:numFmt w:val="bullet"/>
      <w:lvlText w:val=""/>
      <w:lvlJc w:val="left"/>
      <w:pPr>
        <w:ind w:left="1080" w:hanging="360"/>
      </w:pPr>
      <w:rPr>
        <w:rFonts w:ascii="Symbol" w:hAnsi="Symbol"/>
      </w:rPr>
    </w:lvl>
    <w:lvl w:ilvl="6" w:tplc="9F1EAA4E">
      <w:start w:val="1"/>
      <w:numFmt w:val="bullet"/>
      <w:lvlText w:val=""/>
      <w:lvlJc w:val="left"/>
      <w:pPr>
        <w:ind w:left="1080" w:hanging="360"/>
      </w:pPr>
      <w:rPr>
        <w:rFonts w:ascii="Symbol" w:hAnsi="Symbol"/>
      </w:rPr>
    </w:lvl>
    <w:lvl w:ilvl="7" w:tplc="1EA03E24">
      <w:start w:val="1"/>
      <w:numFmt w:val="bullet"/>
      <w:lvlText w:val=""/>
      <w:lvlJc w:val="left"/>
      <w:pPr>
        <w:ind w:left="1080" w:hanging="360"/>
      </w:pPr>
      <w:rPr>
        <w:rFonts w:ascii="Symbol" w:hAnsi="Symbol"/>
      </w:rPr>
    </w:lvl>
    <w:lvl w:ilvl="8" w:tplc="5964E66A">
      <w:start w:val="1"/>
      <w:numFmt w:val="bullet"/>
      <w:lvlText w:val=""/>
      <w:lvlJc w:val="left"/>
      <w:pPr>
        <w:ind w:left="1080" w:hanging="360"/>
      </w:pPr>
      <w:rPr>
        <w:rFonts w:ascii="Symbol" w:hAnsi="Symbol"/>
      </w:rPr>
    </w:lvl>
  </w:abstractNum>
  <w:abstractNum w:abstractNumId="34" w15:restartNumberingAfterBreak="0">
    <w:nsid w:val="79D778F8"/>
    <w:multiLevelType w:val="hybridMultilevel"/>
    <w:tmpl w:val="119E1908"/>
    <w:lvl w:ilvl="0" w:tplc="90D829C8">
      <w:start w:val="1"/>
      <w:numFmt w:val="bullet"/>
      <w:lvlText w:val=""/>
      <w:lvlJc w:val="left"/>
      <w:pPr>
        <w:ind w:left="1080" w:hanging="360"/>
      </w:pPr>
      <w:rPr>
        <w:rFonts w:ascii="Symbol" w:hAnsi="Symbol"/>
      </w:rPr>
    </w:lvl>
    <w:lvl w:ilvl="1" w:tplc="519AFA7C">
      <w:start w:val="1"/>
      <w:numFmt w:val="bullet"/>
      <w:lvlText w:val=""/>
      <w:lvlJc w:val="left"/>
      <w:pPr>
        <w:ind w:left="1080" w:hanging="360"/>
      </w:pPr>
      <w:rPr>
        <w:rFonts w:ascii="Symbol" w:hAnsi="Symbol"/>
      </w:rPr>
    </w:lvl>
    <w:lvl w:ilvl="2" w:tplc="E93C2E06">
      <w:start w:val="1"/>
      <w:numFmt w:val="bullet"/>
      <w:lvlText w:val=""/>
      <w:lvlJc w:val="left"/>
      <w:pPr>
        <w:ind w:left="1080" w:hanging="360"/>
      </w:pPr>
      <w:rPr>
        <w:rFonts w:ascii="Symbol" w:hAnsi="Symbol"/>
      </w:rPr>
    </w:lvl>
    <w:lvl w:ilvl="3" w:tplc="13E209F8">
      <w:start w:val="1"/>
      <w:numFmt w:val="bullet"/>
      <w:lvlText w:val=""/>
      <w:lvlJc w:val="left"/>
      <w:pPr>
        <w:ind w:left="1080" w:hanging="360"/>
      </w:pPr>
      <w:rPr>
        <w:rFonts w:ascii="Symbol" w:hAnsi="Symbol"/>
      </w:rPr>
    </w:lvl>
    <w:lvl w:ilvl="4" w:tplc="ACB64026">
      <w:start w:val="1"/>
      <w:numFmt w:val="bullet"/>
      <w:lvlText w:val=""/>
      <w:lvlJc w:val="left"/>
      <w:pPr>
        <w:ind w:left="1080" w:hanging="360"/>
      </w:pPr>
      <w:rPr>
        <w:rFonts w:ascii="Symbol" w:hAnsi="Symbol"/>
      </w:rPr>
    </w:lvl>
    <w:lvl w:ilvl="5" w:tplc="41C6D88E">
      <w:start w:val="1"/>
      <w:numFmt w:val="bullet"/>
      <w:lvlText w:val=""/>
      <w:lvlJc w:val="left"/>
      <w:pPr>
        <w:ind w:left="1080" w:hanging="360"/>
      </w:pPr>
      <w:rPr>
        <w:rFonts w:ascii="Symbol" w:hAnsi="Symbol"/>
      </w:rPr>
    </w:lvl>
    <w:lvl w:ilvl="6" w:tplc="5B986D5E">
      <w:start w:val="1"/>
      <w:numFmt w:val="bullet"/>
      <w:lvlText w:val=""/>
      <w:lvlJc w:val="left"/>
      <w:pPr>
        <w:ind w:left="1080" w:hanging="360"/>
      </w:pPr>
      <w:rPr>
        <w:rFonts w:ascii="Symbol" w:hAnsi="Symbol"/>
      </w:rPr>
    </w:lvl>
    <w:lvl w:ilvl="7" w:tplc="22660CD2">
      <w:start w:val="1"/>
      <w:numFmt w:val="bullet"/>
      <w:lvlText w:val=""/>
      <w:lvlJc w:val="left"/>
      <w:pPr>
        <w:ind w:left="1080" w:hanging="360"/>
      </w:pPr>
      <w:rPr>
        <w:rFonts w:ascii="Symbol" w:hAnsi="Symbol"/>
      </w:rPr>
    </w:lvl>
    <w:lvl w:ilvl="8" w:tplc="2DB4A062">
      <w:start w:val="1"/>
      <w:numFmt w:val="bullet"/>
      <w:lvlText w:val=""/>
      <w:lvlJc w:val="left"/>
      <w:pPr>
        <w:ind w:left="1080" w:hanging="360"/>
      </w:pPr>
      <w:rPr>
        <w:rFonts w:ascii="Symbol" w:hAnsi="Symbol"/>
      </w:rPr>
    </w:lvl>
  </w:abstractNum>
  <w:abstractNum w:abstractNumId="35" w15:restartNumberingAfterBreak="0">
    <w:nsid w:val="7C65145E"/>
    <w:multiLevelType w:val="multilevel"/>
    <w:tmpl w:val="EA7AFB96"/>
    <w:name w:val="EurolookHeading"/>
    <w:lvl w:ilvl="0">
      <w:start w:val="1"/>
      <w:numFmt w:val="upperRoman"/>
      <w:pStyle w:val="Heading1"/>
      <w:lvlText w:val="%1."/>
      <w:lvlJc w:val="right"/>
      <w:pPr>
        <w:tabs>
          <w:tab w:val="num" w:pos="482"/>
        </w:tabs>
        <w:ind w:left="482" w:hanging="482"/>
      </w:pPr>
    </w:lvl>
    <w:lvl w:ilvl="1">
      <w:start w:val="1"/>
      <w:numFmt w:val="decimal"/>
      <w:pStyle w:val="Heading2"/>
      <w:lvlText w:val="%1.%2."/>
      <w:lvlJc w:val="left"/>
      <w:pPr>
        <w:tabs>
          <w:tab w:val="num" w:pos="793"/>
        </w:tabs>
        <w:ind w:left="793" w:hanging="595"/>
      </w:pPr>
    </w:lvl>
    <w:lvl w:ilvl="2">
      <w:start w:val="1"/>
      <w:numFmt w:val="decimal"/>
      <w:pStyle w:val="Heading3"/>
      <w:lvlText w:val="%1.%2.%3."/>
      <w:lvlJc w:val="left"/>
      <w:pPr>
        <w:tabs>
          <w:tab w:val="num" w:pos="1638"/>
        </w:tabs>
        <w:ind w:left="1638" w:hanging="845"/>
      </w:pPr>
    </w:lvl>
    <w:lvl w:ilvl="3">
      <w:start w:val="1"/>
      <w:numFmt w:val="decimal"/>
      <w:pStyle w:val="Heading4"/>
      <w:lvlText w:val="%1.%2.%3.%4."/>
      <w:lvlJc w:val="left"/>
      <w:pPr>
        <w:tabs>
          <w:tab w:val="num" w:pos="2596"/>
        </w:tabs>
        <w:ind w:left="2596" w:hanging="958"/>
      </w:pPr>
    </w:lvl>
    <w:lvl w:ilvl="4">
      <w:start w:val="1"/>
      <w:numFmt w:val="decimal"/>
      <w:pStyle w:val="Heading5"/>
      <w:lvlText w:val="%1.%2.%3.%4.%5."/>
      <w:lvlJc w:val="left"/>
      <w:pPr>
        <w:tabs>
          <w:tab w:val="num" w:pos="2596"/>
        </w:tabs>
        <w:ind w:left="3554" w:hanging="958"/>
      </w:pPr>
    </w:lvl>
    <w:lvl w:ilvl="5">
      <w:start w:val="1"/>
      <w:numFmt w:val="decimal"/>
      <w:pStyle w:val="Heading6"/>
      <w:lvlText w:val="%1.%2.%3.%4.%5.%6."/>
      <w:lvlJc w:val="left"/>
      <w:pPr>
        <w:tabs>
          <w:tab w:val="num" w:pos="2596"/>
        </w:tabs>
        <w:ind w:left="3554" w:hanging="958"/>
      </w:pPr>
    </w:lvl>
    <w:lvl w:ilvl="6">
      <w:start w:val="1"/>
      <w:numFmt w:val="decimal"/>
      <w:pStyle w:val="Heading7"/>
      <w:lvlText w:val="%1.%2.%3.%4.%5.%6.%7."/>
      <w:lvlJc w:val="left"/>
      <w:pPr>
        <w:tabs>
          <w:tab w:val="num" w:pos="2596"/>
        </w:tabs>
        <w:ind w:left="3554" w:hanging="958"/>
      </w:pPr>
    </w:lvl>
    <w:lvl w:ilvl="7">
      <w:start w:val="1"/>
      <w:numFmt w:val="decimal"/>
      <w:pStyle w:val="Heading8"/>
      <w:lvlText w:val="%1.%2.%3.%4.%5.%6.%7.%8."/>
      <w:lvlJc w:val="left"/>
      <w:pPr>
        <w:tabs>
          <w:tab w:val="num" w:pos="2596"/>
        </w:tabs>
        <w:ind w:left="3554" w:hanging="958"/>
      </w:pPr>
    </w:lvl>
    <w:lvl w:ilvl="8">
      <w:start w:val="1"/>
      <w:numFmt w:val="decimal"/>
      <w:pStyle w:val="Heading9"/>
      <w:lvlText w:val="%1.%2.%3.%4.%5.%6.%7.%8.%9."/>
      <w:lvlJc w:val="left"/>
      <w:pPr>
        <w:tabs>
          <w:tab w:val="num" w:pos="2596"/>
        </w:tabs>
        <w:ind w:left="3554" w:hanging="958"/>
      </w:pPr>
    </w:lvl>
  </w:abstractNum>
  <w:abstractNum w:abstractNumId="3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6"/>
  </w:num>
  <w:num w:numId="2">
    <w:abstractNumId w:val="13"/>
  </w:num>
  <w:num w:numId="3">
    <w:abstractNumId w:val="12"/>
  </w:num>
  <w:num w:numId="4">
    <w:abstractNumId w:val="35"/>
  </w:num>
  <w:num w:numId="5">
    <w:abstractNumId w:val="21"/>
  </w:num>
  <w:num w:numId="6">
    <w:abstractNumId w:val="19"/>
  </w:num>
  <w:num w:numId="7">
    <w:abstractNumId w:val="11"/>
  </w:num>
  <w:num w:numId="8">
    <w:abstractNumId w:val="6"/>
  </w:num>
  <w:num w:numId="9">
    <w:abstractNumId w:val="5"/>
  </w:num>
  <w:num w:numId="10">
    <w:abstractNumId w:val="4"/>
  </w:num>
  <w:num w:numId="11">
    <w:abstractNumId w:val="20"/>
  </w:num>
  <w:num w:numId="12">
    <w:abstractNumId w:val="8"/>
  </w:num>
  <w:num w:numId="13">
    <w:abstractNumId w:val="3"/>
  </w:num>
  <w:num w:numId="14">
    <w:abstractNumId w:val="30"/>
  </w:num>
  <w:num w:numId="15">
    <w:abstractNumId w:val="24"/>
  </w:num>
  <w:num w:numId="16">
    <w:abstractNumId w:val="17"/>
  </w:num>
  <w:num w:numId="17">
    <w:abstractNumId w:val="9"/>
  </w:num>
  <w:num w:numId="18">
    <w:abstractNumId w:val="16"/>
  </w:num>
  <w:num w:numId="19">
    <w:abstractNumId w:val="1"/>
  </w:num>
  <w:num w:numId="20">
    <w:abstractNumId w:val="14"/>
  </w:num>
  <w:num w:numId="21">
    <w:abstractNumId w:val="7"/>
  </w:num>
  <w:num w:numId="22">
    <w:abstractNumId w:val="18"/>
  </w:num>
  <w:num w:numId="23">
    <w:abstractNumId w:val="32"/>
  </w:num>
  <w:num w:numId="24">
    <w:abstractNumId w:val="22"/>
  </w:num>
  <w:num w:numId="25">
    <w:abstractNumId w:val="27"/>
  </w:num>
  <w:num w:numId="26">
    <w:abstractNumId w:val="29"/>
  </w:num>
  <w:num w:numId="27">
    <w:abstractNumId w:val="26"/>
  </w:num>
  <w:num w:numId="28">
    <w:abstractNumId w:val="33"/>
  </w:num>
  <w:num w:numId="29">
    <w:abstractNumId w:val="0"/>
  </w:num>
  <w:num w:numId="30">
    <w:abstractNumId w:val="23"/>
  </w:num>
  <w:num w:numId="31">
    <w:abstractNumId w:val="10"/>
  </w:num>
  <w:num w:numId="32">
    <w:abstractNumId w:val="25"/>
  </w:num>
  <w:num w:numId="33">
    <w:abstractNumId w:val="34"/>
  </w:num>
  <w:num w:numId="34">
    <w:abstractNumId w:val="2"/>
  </w:num>
  <w:num w:numId="35">
    <w:abstractNumId w:val="15"/>
  </w:num>
  <w:num w:numId="36">
    <w:abstractNumId w:val="28"/>
  </w:num>
  <w:num w:numId="37">
    <w:abstractNumId w:val="31"/>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F0AE920A-750C-4BAE-8E00-581F4B649130"/>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b_Country Chapter on the rule of law situation in Italy"/>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0402"/>
    <w:rsid w:val="0000160E"/>
    <w:rsid w:val="000024E0"/>
    <w:rsid w:val="00007A5A"/>
    <w:rsid w:val="000109C5"/>
    <w:rsid w:val="00011207"/>
    <w:rsid w:val="00012120"/>
    <w:rsid w:val="0001582E"/>
    <w:rsid w:val="00015D88"/>
    <w:rsid w:val="000170A6"/>
    <w:rsid w:val="00017618"/>
    <w:rsid w:val="0001788A"/>
    <w:rsid w:val="00023EA2"/>
    <w:rsid w:val="00025B57"/>
    <w:rsid w:val="00027184"/>
    <w:rsid w:val="000301A1"/>
    <w:rsid w:val="00037511"/>
    <w:rsid w:val="000406C7"/>
    <w:rsid w:val="00044784"/>
    <w:rsid w:val="000453BD"/>
    <w:rsid w:val="00045898"/>
    <w:rsid w:val="00045D3F"/>
    <w:rsid w:val="00047FA0"/>
    <w:rsid w:val="00050901"/>
    <w:rsid w:val="00051220"/>
    <w:rsid w:val="0005350D"/>
    <w:rsid w:val="00054618"/>
    <w:rsid w:val="00054BB2"/>
    <w:rsid w:val="00054C60"/>
    <w:rsid w:val="00054F15"/>
    <w:rsid w:val="000562E8"/>
    <w:rsid w:val="000563C2"/>
    <w:rsid w:val="00061B7F"/>
    <w:rsid w:val="000640C3"/>
    <w:rsid w:val="000640D8"/>
    <w:rsid w:val="00067516"/>
    <w:rsid w:val="000731F7"/>
    <w:rsid w:val="00073EEC"/>
    <w:rsid w:val="00075523"/>
    <w:rsid w:val="000830E3"/>
    <w:rsid w:val="00084B35"/>
    <w:rsid w:val="00084EBD"/>
    <w:rsid w:val="0008605D"/>
    <w:rsid w:val="000875DA"/>
    <w:rsid w:val="0009243E"/>
    <w:rsid w:val="00094193"/>
    <w:rsid w:val="000A0F2F"/>
    <w:rsid w:val="000A1097"/>
    <w:rsid w:val="000A24B9"/>
    <w:rsid w:val="000A28A1"/>
    <w:rsid w:val="000A338F"/>
    <w:rsid w:val="000A440E"/>
    <w:rsid w:val="000A7B59"/>
    <w:rsid w:val="000B0C36"/>
    <w:rsid w:val="000B12B4"/>
    <w:rsid w:val="000B204B"/>
    <w:rsid w:val="000B3FBE"/>
    <w:rsid w:val="000B544F"/>
    <w:rsid w:val="000B738F"/>
    <w:rsid w:val="000B7408"/>
    <w:rsid w:val="000C06B7"/>
    <w:rsid w:val="000C10F3"/>
    <w:rsid w:val="000C1B7A"/>
    <w:rsid w:val="000C26B4"/>
    <w:rsid w:val="000C3EE4"/>
    <w:rsid w:val="000C5963"/>
    <w:rsid w:val="000C624C"/>
    <w:rsid w:val="000C659E"/>
    <w:rsid w:val="000D0265"/>
    <w:rsid w:val="000D0A27"/>
    <w:rsid w:val="000D31FA"/>
    <w:rsid w:val="000D3701"/>
    <w:rsid w:val="000D3F33"/>
    <w:rsid w:val="000D74F3"/>
    <w:rsid w:val="000D79F4"/>
    <w:rsid w:val="000E00B4"/>
    <w:rsid w:val="000E1C3E"/>
    <w:rsid w:val="000E4853"/>
    <w:rsid w:val="000E7350"/>
    <w:rsid w:val="000E7636"/>
    <w:rsid w:val="000E7932"/>
    <w:rsid w:val="000F0684"/>
    <w:rsid w:val="000F1D9D"/>
    <w:rsid w:val="000F52B1"/>
    <w:rsid w:val="00100266"/>
    <w:rsid w:val="00100829"/>
    <w:rsid w:val="00100AE4"/>
    <w:rsid w:val="00101251"/>
    <w:rsid w:val="00101E39"/>
    <w:rsid w:val="00101FD6"/>
    <w:rsid w:val="00102058"/>
    <w:rsid w:val="00104B0A"/>
    <w:rsid w:val="00106900"/>
    <w:rsid w:val="00114A7F"/>
    <w:rsid w:val="00115114"/>
    <w:rsid w:val="00120099"/>
    <w:rsid w:val="00121ED6"/>
    <w:rsid w:val="00122884"/>
    <w:rsid w:val="00122C88"/>
    <w:rsid w:val="00122D77"/>
    <w:rsid w:val="00123130"/>
    <w:rsid w:val="00123363"/>
    <w:rsid w:val="0012337D"/>
    <w:rsid w:val="001262D3"/>
    <w:rsid w:val="00131C1B"/>
    <w:rsid w:val="001322EC"/>
    <w:rsid w:val="0013478D"/>
    <w:rsid w:val="00134C51"/>
    <w:rsid w:val="001354AA"/>
    <w:rsid w:val="00135962"/>
    <w:rsid w:val="00140274"/>
    <w:rsid w:val="001409E9"/>
    <w:rsid w:val="001418DB"/>
    <w:rsid w:val="001426F7"/>
    <w:rsid w:val="00143A78"/>
    <w:rsid w:val="00143ACC"/>
    <w:rsid w:val="0015033C"/>
    <w:rsid w:val="00152E38"/>
    <w:rsid w:val="00152EF0"/>
    <w:rsid w:val="00153A37"/>
    <w:rsid w:val="00154EB8"/>
    <w:rsid w:val="00157DDC"/>
    <w:rsid w:val="001607EA"/>
    <w:rsid w:val="001641C8"/>
    <w:rsid w:val="00165B07"/>
    <w:rsid w:val="00170C28"/>
    <w:rsid w:val="00171463"/>
    <w:rsid w:val="00176176"/>
    <w:rsid w:val="00180867"/>
    <w:rsid w:val="00180C84"/>
    <w:rsid w:val="00183152"/>
    <w:rsid w:val="001864CC"/>
    <w:rsid w:val="001913DE"/>
    <w:rsid w:val="00192670"/>
    <w:rsid w:val="0019541D"/>
    <w:rsid w:val="00195A4C"/>
    <w:rsid w:val="00196425"/>
    <w:rsid w:val="001A000A"/>
    <w:rsid w:val="001A125C"/>
    <w:rsid w:val="001A26A5"/>
    <w:rsid w:val="001A2885"/>
    <w:rsid w:val="001A404C"/>
    <w:rsid w:val="001A4ABF"/>
    <w:rsid w:val="001A59BB"/>
    <w:rsid w:val="001A63E9"/>
    <w:rsid w:val="001B1297"/>
    <w:rsid w:val="001B3E72"/>
    <w:rsid w:val="001C04FF"/>
    <w:rsid w:val="001C6826"/>
    <w:rsid w:val="001D0BA8"/>
    <w:rsid w:val="001D5097"/>
    <w:rsid w:val="001D6AA8"/>
    <w:rsid w:val="001D774A"/>
    <w:rsid w:val="001E023F"/>
    <w:rsid w:val="001E0ECE"/>
    <w:rsid w:val="001E12AA"/>
    <w:rsid w:val="001E15D2"/>
    <w:rsid w:val="001E209C"/>
    <w:rsid w:val="001E3EC9"/>
    <w:rsid w:val="001E5E10"/>
    <w:rsid w:val="001E5FD4"/>
    <w:rsid w:val="001E6A9F"/>
    <w:rsid w:val="001F0871"/>
    <w:rsid w:val="001F1A2C"/>
    <w:rsid w:val="001F391D"/>
    <w:rsid w:val="001F4EA4"/>
    <w:rsid w:val="00207777"/>
    <w:rsid w:val="00207D02"/>
    <w:rsid w:val="002113B9"/>
    <w:rsid w:val="002127C7"/>
    <w:rsid w:val="00212A95"/>
    <w:rsid w:val="002141AE"/>
    <w:rsid w:val="0021731E"/>
    <w:rsid w:val="0022236A"/>
    <w:rsid w:val="00223137"/>
    <w:rsid w:val="00223899"/>
    <w:rsid w:val="00223AA9"/>
    <w:rsid w:val="00223D8C"/>
    <w:rsid w:val="002252F0"/>
    <w:rsid w:val="00225E2E"/>
    <w:rsid w:val="0022685A"/>
    <w:rsid w:val="002272FA"/>
    <w:rsid w:val="002273E5"/>
    <w:rsid w:val="00230B73"/>
    <w:rsid w:val="00230B93"/>
    <w:rsid w:val="00231427"/>
    <w:rsid w:val="002335A0"/>
    <w:rsid w:val="00234545"/>
    <w:rsid w:val="002370E0"/>
    <w:rsid w:val="00240330"/>
    <w:rsid w:val="00240A4D"/>
    <w:rsid w:val="0024147E"/>
    <w:rsid w:val="00242726"/>
    <w:rsid w:val="00244187"/>
    <w:rsid w:val="00245F9F"/>
    <w:rsid w:val="00246D1F"/>
    <w:rsid w:val="00247898"/>
    <w:rsid w:val="00247F25"/>
    <w:rsid w:val="0025067C"/>
    <w:rsid w:val="00254B7E"/>
    <w:rsid w:val="002557E7"/>
    <w:rsid w:val="00256D65"/>
    <w:rsid w:val="002606B9"/>
    <w:rsid w:val="0026086E"/>
    <w:rsid w:val="002665FB"/>
    <w:rsid w:val="00266ED1"/>
    <w:rsid w:val="00272B96"/>
    <w:rsid w:val="00273C9A"/>
    <w:rsid w:val="002761F9"/>
    <w:rsid w:val="00276ED1"/>
    <w:rsid w:val="0028089F"/>
    <w:rsid w:val="00281BDB"/>
    <w:rsid w:val="00282AD1"/>
    <w:rsid w:val="00283706"/>
    <w:rsid w:val="002859F3"/>
    <w:rsid w:val="00286AE2"/>
    <w:rsid w:val="00290836"/>
    <w:rsid w:val="00292952"/>
    <w:rsid w:val="00293B49"/>
    <w:rsid w:val="00295BBA"/>
    <w:rsid w:val="00297A2D"/>
    <w:rsid w:val="002A13BA"/>
    <w:rsid w:val="002A4132"/>
    <w:rsid w:val="002A43D7"/>
    <w:rsid w:val="002A43EA"/>
    <w:rsid w:val="002A44E0"/>
    <w:rsid w:val="002A4CD8"/>
    <w:rsid w:val="002A664E"/>
    <w:rsid w:val="002B1EB1"/>
    <w:rsid w:val="002B2CDF"/>
    <w:rsid w:val="002B3B0A"/>
    <w:rsid w:val="002B662F"/>
    <w:rsid w:val="002B6660"/>
    <w:rsid w:val="002B747B"/>
    <w:rsid w:val="002B772C"/>
    <w:rsid w:val="002B7FF5"/>
    <w:rsid w:val="002C00BF"/>
    <w:rsid w:val="002C1D83"/>
    <w:rsid w:val="002C24B9"/>
    <w:rsid w:val="002C2F07"/>
    <w:rsid w:val="002C2F7D"/>
    <w:rsid w:val="002C5320"/>
    <w:rsid w:val="002C639C"/>
    <w:rsid w:val="002C70C8"/>
    <w:rsid w:val="002D006F"/>
    <w:rsid w:val="002D153D"/>
    <w:rsid w:val="002D1C61"/>
    <w:rsid w:val="002D3137"/>
    <w:rsid w:val="002D383D"/>
    <w:rsid w:val="002D3A91"/>
    <w:rsid w:val="002D52AE"/>
    <w:rsid w:val="002D7860"/>
    <w:rsid w:val="002D7888"/>
    <w:rsid w:val="002E23FB"/>
    <w:rsid w:val="002E3443"/>
    <w:rsid w:val="002E463B"/>
    <w:rsid w:val="002E64D7"/>
    <w:rsid w:val="002E6803"/>
    <w:rsid w:val="002F2DB6"/>
    <w:rsid w:val="002F47D0"/>
    <w:rsid w:val="002F4AB4"/>
    <w:rsid w:val="002F5C6D"/>
    <w:rsid w:val="002F7590"/>
    <w:rsid w:val="00300675"/>
    <w:rsid w:val="00300EDC"/>
    <w:rsid w:val="00303B81"/>
    <w:rsid w:val="00303BF6"/>
    <w:rsid w:val="00304ACF"/>
    <w:rsid w:val="00306071"/>
    <w:rsid w:val="00307E49"/>
    <w:rsid w:val="003138D7"/>
    <w:rsid w:val="003159D5"/>
    <w:rsid w:val="00316982"/>
    <w:rsid w:val="003173E3"/>
    <w:rsid w:val="003220BE"/>
    <w:rsid w:val="003225E4"/>
    <w:rsid w:val="00322D67"/>
    <w:rsid w:val="00325FF2"/>
    <w:rsid w:val="00332231"/>
    <w:rsid w:val="00332B55"/>
    <w:rsid w:val="00333FC1"/>
    <w:rsid w:val="0033459E"/>
    <w:rsid w:val="00334885"/>
    <w:rsid w:val="00335D0D"/>
    <w:rsid w:val="00337B69"/>
    <w:rsid w:val="00337CA2"/>
    <w:rsid w:val="0034271B"/>
    <w:rsid w:val="00343B0C"/>
    <w:rsid w:val="003467F2"/>
    <w:rsid w:val="00347776"/>
    <w:rsid w:val="00350AC9"/>
    <w:rsid w:val="003532A2"/>
    <w:rsid w:val="0035428F"/>
    <w:rsid w:val="00355C0E"/>
    <w:rsid w:val="00357164"/>
    <w:rsid w:val="00362470"/>
    <w:rsid w:val="00362FD2"/>
    <w:rsid w:val="00363313"/>
    <w:rsid w:val="0036340A"/>
    <w:rsid w:val="00365304"/>
    <w:rsid w:val="00366B1B"/>
    <w:rsid w:val="00367C9B"/>
    <w:rsid w:val="003701BC"/>
    <w:rsid w:val="00371210"/>
    <w:rsid w:val="003715BA"/>
    <w:rsid w:val="00371D6A"/>
    <w:rsid w:val="00372649"/>
    <w:rsid w:val="00374277"/>
    <w:rsid w:val="003766FF"/>
    <w:rsid w:val="003815A8"/>
    <w:rsid w:val="00384835"/>
    <w:rsid w:val="00385740"/>
    <w:rsid w:val="003861CD"/>
    <w:rsid w:val="00386D51"/>
    <w:rsid w:val="003877AE"/>
    <w:rsid w:val="00387EEA"/>
    <w:rsid w:val="00390C5C"/>
    <w:rsid w:val="0039195B"/>
    <w:rsid w:val="00391E63"/>
    <w:rsid w:val="003A12D5"/>
    <w:rsid w:val="003A30B3"/>
    <w:rsid w:val="003A70A4"/>
    <w:rsid w:val="003B0E30"/>
    <w:rsid w:val="003B166C"/>
    <w:rsid w:val="003B1CFB"/>
    <w:rsid w:val="003B247F"/>
    <w:rsid w:val="003B26D5"/>
    <w:rsid w:val="003B27C6"/>
    <w:rsid w:val="003B2BE1"/>
    <w:rsid w:val="003B595B"/>
    <w:rsid w:val="003B63F4"/>
    <w:rsid w:val="003B7B71"/>
    <w:rsid w:val="003C033F"/>
    <w:rsid w:val="003C17CF"/>
    <w:rsid w:val="003C17D9"/>
    <w:rsid w:val="003C19B2"/>
    <w:rsid w:val="003C33D9"/>
    <w:rsid w:val="003C6BAF"/>
    <w:rsid w:val="003D1EA2"/>
    <w:rsid w:val="003D1F52"/>
    <w:rsid w:val="003D220F"/>
    <w:rsid w:val="003D257C"/>
    <w:rsid w:val="003D3445"/>
    <w:rsid w:val="003D45E4"/>
    <w:rsid w:val="003D5433"/>
    <w:rsid w:val="003E2A04"/>
    <w:rsid w:val="003E42AC"/>
    <w:rsid w:val="003E4E44"/>
    <w:rsid w:val="003E7771"/>
    <w:rsid w:val="003F0EE8"/>
    <w:rsid w:val="003F45F2"/>
    <w:rsid w:val="00401AA2"/>
    <w:rsid w:val="00404715"/>
    <w:rsid w:val="00406816"/>
    <w:rsid w:val="00406FCD"/>
    <w:rsid w:val="004110A5"/>
    <w:rsid w:val="004128C2"/>
    <w:rsid w:val="0041609A"/>
    <w:rsid w:val="00416845"/>
    <w:rsid w:val="00417916"/>
    <w:rsid w:val="004203F8"/>
    <w:rsid w:val="00420FB4"/>
    <w:rsid w:val="004214B3"/>
    <w:rsid w:val="00421C29"/>
    <w:rsid w:val="0042362D"/>
    <w:rsid w:val="00423788"/>
    <w:rsid w:val="00424BB3"/>
    <w:rsid w:val="00425F63"/>
    <w:rsid w:val="00432FC4"/>
    <w:rsid w:val="00433675"/>
    <w:rsid w:val="00433A68"/>
    <w:rsid w:val="004360C8"/>
    <w:rsid w:val="00436A94"/>
    <w:rsid w:val="0044009B"/>
    <w:rsid w:val="00440780"/>
    <w:rsid w:val="00441F66"/>
    <w:rsid w:val="0044264F"/>
    <w:rsid w:val="00442CEF"/>
    <w:rsid w:val="0044368C"/>
    <w:rsid w:val="00445A27"/>
    <w:rsid w:val="0045220B"/>
    <w:rsid w:val="00456881"/>
    <w:rsid w:val="00460E89"/>
    <w:rsid w:val="00462D04"/>
    <w:rsid w:val="00464076"/>
    <w:rsid w:val="00464282"/>
    <w:rsid w:val="004706D3"/>
    <w:rsid w:val="00470E33"/>
    <w:rsid w:val="00472B06"/>
    <w:rsid w:val="00473E16"/>
    <w:rsid w:val="004752E1"/>
    <w:rsid w:val="00475CCB"/>
    <w:rsid w:val="00477238"/>
    <w:rsid w:val="004841C3"/>
    <w:rsid w:val="00484B4F"/>
    <w:rsid w:val="00485185"/>
    <w:rsid w:val="004852CF"/>
    <w:rsid w:val="0048557B"/>
    <w:rsid w:val="0048589B"/>
    <w:rsid w:val="004860E2"/>
    <w:rsid w:val="00490F94"/>
    <w:rsid w:val="00492C41"/>
    <w:rsid w:val="00494071"/>
    <w:rsid w:val="00495113"/>
    <w:rsid w:val="00496E07"/>
    <w:rsid w:val="004A003A"/>
    <w:rsid w:val="004A3CC5"/>
    <w:rsid w:val="004A3DA4"/>
    <w:rsid w:val="004A4AD1"/>
    <w:rsid w:val="004A5104"/>
    <w:rsid w:val="004A6715"/>
    <w:rsid w:val="004A704C"/>
    <w:rsid w:val="004B0111"/>
    <w:rsid w:val="004B09D1"/>
    <w:rsid w:val="004B35D7"/>
    <w:rsid w:val="004B4C59"/>
    <w:rsid w:val="004B4D27"/>
    <w:rsid w:val="004B5267"/>
    <w:rsid w:val="004B57A2"/>
    <w:rsid w:val="004B6A32"/>
    <w:rsid w:val="004B7327"/>
    <w:rsid w:val="004C0A6B"/>
    <w:rsid w:val="004C288A"/>
    <w:rsid w:val="004C32C9"/>
    <w:rsid w:val="004C3885"/>
    <w:rsid w:val="004D0969"/>
    <w:rsid w:val="004D3659"/>
    <w:rsid w:val="004D3C91"/>
    <w:rsid w:val="004D431E"/>
    <w:rsid w:val="004D5B11"/>
    <w:rsid w:val="004D6159"/>
    <w:rsid w:val="004D782A"/>
    <w:rsid w:val="004E2F59"/>
    <w:rsid w:val="004E3577"/>
    <w:rsid w:val="004E42BA"/>
    <w:rsid w:val="004E568F"/>
    <w:rsid w:val="004E5CF5"/>
    <w:rsid w:val="004F1662"/>
    <w:rsid w:val="004F2116"/>
    <w:rsid w:val="004F288A"/>
    <w:rsid w:val="004F3EFC"/>
    <w:rsid w:val="004F418B"/>
    <w:rsid w:val="004F4943"/>
    <w:rsid w:val="004F5082"/>
    <w:rsid w:val="004F51D0"/>
    <w:rsid w:val="004F5465"/>
    <w:rsid w:val="005007B8"/>
    <w:rsid w:val="00500953"/>
    <w:rsid w:val="00502F32"/>
    <w:rsid w:val="00504968"/>
    <w:rsid w:val="00507B94"/>
    <w:rsid w:val="00513CBF"/>
    <w:rsid w:val="00513FB6"/>
    <w:rsid w:val="005140AF"/>
    <w:rsid w:val="005175C2"/>
    <w:rsid w:val="00517E7C"/>
    <w:rsid w:val="00520632"/>
    <w:rsid w:val="00525C88"/>
    <w:rsid w:val="00532AD0"/>
    <w:rsid w:val="00533042"/>
    <w:rsid w:val="005337C6"/>
    <w:rsid w:val="0053543C"/>
    <w:rsid w:val="00535D66"/>
    <w:rsid w:val="0053691D"/>
    <w:rsid w:val="0054044F"/>
    <w:rsid w:val="00543DF9"/>
    <w:rsid w:val="00544917"/>
    <w:rsid w:val="00545D09"/>
    <w:rsid w:val="00547D3A"/>
    <w:rsid w:val="00550C18"/>
    <w:rsid w:val="00552424"/>
    <w:rsid w:val="00552C6A"/>
    <w:rsid w:val="00554C56"/>
    <w:rsid w:val="00557A12"/>
    <w:rsid w:val="005624E7"/>
    <w:rsid w:val="00562E10"/>
    <w:rsid w:val="0056368D"/>
    <w:rsid w:val="00565657"/>
    <w:rsid w:val="00566981"/>
    <w:rsid w:val="00571C35"/>
    <w:rsid w:val="00571EBA"/>
    <w:rsid w:val="00576186"/>
    <w:rsid w:val="00581832"/>
    <w:rsid w:val="005841EB"/>
    <w:rsid w:val="00585E48"/>
    <w:rsid w:val="005875BD"/>
    <w:rsid w:val="0059035D"/>
    <w:rsid w:val="00591B2B"/>
    <w:rsid w:val="005934D3"/>
    <w:rsid w:val="00594BCC"/>
    <w:rsid w:val="005A0576"/>
    <w:rsid w:val="005A1040"/>
    <w:rsid w:val="005A259C"/>
    <w:rsid w:val="005A5360"/>
    <w:rsid w:val="005A56F9"/>
    <w:rsid w:val="005A6E3A"/>
    <w:rsid w:val="005B60D3"/>
    <w:rsid w:val="005B6AE0"/>
    <w:rsid w:val="005B72C1"/>
    <w:rsid w:val="005C0365"/>
    <w:rsid w:val="005C0A78"/>
    <w:rsid w:val="005C2771"/>
    <w:rsid w:val="005C379A"/>
    <w:rsid w:val="005C5284"/>
    <w:rsid w:val="005D105D"/>
    <w:rsid w:val="005D1B99"/>
    <w:rsid w:val="005D2BCD"/>
    <w:rsid w:val="005D2C27"/>
    <w:rsid w:val="005D41CB"/>
    <w:rsid w:val="005D51C3"/>
    <w:rsid w:val="005D53DE"/>
    <w:rsid w:val="005E3C4A"/>
    <w:rsid w:val="005E44A3"/>
    <w:rsid w:val="005E7AC0"/>
    <w:rsid w:val="005F073F"/>
    <w:rsid w:val="005F0AB4"/>
    <w:rsid w:val="005F0B98"/>
    <w:rsid w:val="005F1A86"/>
    <w:rsid w:val="005F2548"/>
    <w:rsid w:val="005F25E4"/>
    <w:rsid w:val="005F57DE"/>
    <w:rsid w:val="005F7654"/>
    <w:rsid w:val="00600D18"/>
    <w:rsid w:val="006017AA"/>
    <w:rsid w:val="006019DE"/>
    <w:rsid w:val="00606674"/>
    <w:rsid w:val="0061267D"/>
    <w:rsid w:val="00612F5F"/>
    <w:rsid w:val="00614F20"/>
    <w:rsid w:val="00615619"/>
    <w:rsid w:val="00615E8C"/>
    <w:rsid w:val="00617461"/>
    <w:rsid w:val="00620011"/>
    <w:rsid w:val="0062085A"/>
    <w:rsid w:val="00620C1A"/>
    <w:rsid w:val="00623AA7"/>
    <w:rsid w:val="006242EA"/>
    <w:rsid w:val="0062709F"/>
    <w:rsid w:val="00627A94"/>
    <w:rsid w:val="00632202"/>
    <w:rsid w:val="00632436"/>
    <w:rsid w:val="00634432"/>
    <w:rsid w:val="00637972"/>
    <w:rsid w:val="006401B7"/>
    <w:rsid w:val="006403F1"/>
    <w:rsid w:val="00640D4D"/>
    <w:rsid w:val="006434B1"/>
    <w:rsid w:val="006444A3"/>
    <w:rsid w:val="006450D1"/>
    <w:rsid w:val="00647DEA"/>
    <w:rsid w:val="006503EB"/>
    <w:rsid w:val="00650D6F"/>
    <w:rsid w:val="006524EE"/>
    <w:rsid w:val="006525AB"/>
    <w:rsid w:val="006558EC"/>
    <w:rsid w:val="006617FE"/>
    <w:rsid w:val="00665CEB"/>
    <w:rsid w:val="00666667"/>
    <w:rsid w:val="00666FEB"/>
    <w:rsid w:val="00670C6C"/>
    <w:rsid w:val="006721C8"/>
    <w:rsid w:val="00676235"/>
    <w:rsid w:val="00676CD7"/>
    <w:rsid w:val="00676CF2"/>
    <w:rsid w:val="00680173"/>
    <w:rsid w:val="0068050E"/>
    <w:rsid w:val="0068162F"/>
    <w:rsid w:val="0068303E"/>
    <w:rsid w:val="00684637"/>
    <w:rsid w:val="00687809"/>
    <w:rsid w:val="006904C2"/>
    <w:rsid w:val="00690D5E"/>
    <w:rsid w:val="006918EE"/>
    <w:rsid w:val="0069277B"/>
    <w:rsid w:val="006946D7"/>
    <w:rsid w:val="006979EE"/>
    <w:rsid w:val="006A06AE"/>
    <w:rsid w:val="006A297B"/>
    <w:rsid w:val="006A3099"/>
    <w:rsid w:val="006A3A49"/>
    <w:rsid w:val="006A58A5"/>
    <w:rsid w:val="006B08A7"/>
    <w:rsid w:val="006B1402"/>
    <w:rsid w:val="006B2655"/>
    <w:rsid w:val="006B281E"/>
    <w:rsid w:val="006B5D81"/>
    <w:rsid w:val="006B7CE0"/>
    <w:rsid w:val="006C1B33"/>
    <w:rsid w:val="006C277B"/>
    <w:rsid w:val="006C4ED6"/>
    <w:rsid w:val="006C776B"/>
    <w:rsid w:val="006C7A48"/>
    <w:rsid w:val="006D2A6A"/>
    <w:rsid w:val="006D329E"/>
    <w:rsid w:val="006D74F1"/>
    <w:rsid w:val="006E0E72"/>
    <w:rsid w:val="006E13F7"/>
    <w:rsid w:val="006E255D"/>
    <w:rsid w:val="006E7EA3"/>
    <w:rsid w:val="006F0D89"/>
    <w:rsid w:val="006F3A99"/>
    <w:rsid w:val="006F4CB7"/>
    <w:rsid w:val="006F4DD2"/>
    <w:rsid w:val="006F7FB4"/>
    <w:rsid w:val="006F7FFA"/>
    <w:rsid w:val="0070120F"/>
    <w:rsid w:val="007041AE"/>
    <w:rsid w:val="00705438"/>
    <w:rsid w:val="00705F3B"/>
    <w:rsid w:val="007060AD"/>
    <w:rsid w:val="00706522"/>
    <w:rsid w:val="0070692A"/>
    <w:rsid w:val="00715359"/>
    <w:rsid w:val="007163FE"/>
    <w:rsid w:val="007169A9"/>
    <w:rsid w:val="00716F6D"/>
    <w:rsid w:val="007201CF"/>
    <w:rsid w:val="00722788"/>
    <w:rsid w:val="007231D4"/>
    <w:rsid w:val="007234EE"/>
    <w:rsid w:val="007239B7"/>
    <w:rsid w:val="0072541E"/>
    <w:rsid w:val="007257AB"/>
    <w:rsid w:val="00725F09"/>
    <w:rsid w:val="00726AAF"/>
    <w:rsid w:val="00727F79"/>
    <w:rsid w:val="007312D1"/>
    <w:rsid w:val="007317D6"/>
    <w:rsid w:val="00732805"/>
    <w:rsid w:val="007363D4"/>
    <w:rsid w:val="00740773"/>
    <w:rsid w:val="00740C52"/>
    <w:rsid w:val="007412C1"/>
    <w:rsid w:val="0074181C"/>
    <w:rsid w:val="007418AF"/>
    <w:rsid w:val="007419C2"/>
    <w:rsid w:val="00741B3B"/>
    <w:rsid w:val="007431E2"/>
    <w:rsid w:val="00743B72"/>
    <w:rsid w:val="00745408"/>
    <w:rsid w:val="00746BFE"/>
    <w:rsid w:val="0074759F"/>
    <w:rsid w:val="007476A8"/>
    <w:rsid w:val="00747A2A"/>
    <w:rsid w:val="00750FB7"/>
    <w:rsid w:val="00753F80"/>
    <w:rsid w:val="00754313"/>
    <w:rsid w:val="00755208"/>
    <w:rsid w:val="00763665"/>
    <w:rsid w:val="00771C00"/>
    <w:rsid w:val="0077491D"/>
    <w:rsid w:val="007750C4"/>
    <w:rsid w:val="00775188"/>
    <w:rsid w:val="007774B5"/>
    <w:rsid w:val="007820E2"/>
    <w:rsid w:val="00782993"/>
    <w:rsid w:val="00783395"/>
    <w:rsid w:val="00783E31"/>
    <w:rsid w:val="0078744B"/>
    <w:rsid w:val="007879E1"/>
    <w:rsid w:val="00787C63"/>
    <w:rsid w:val="00791218"/>
    <w:rsid w:val="007915A0"/>
    <w:rsid w:val="00791A14"/>
    <w:rsid w:val="00792DB3"/>
    <w:rsid w:val="0079416F"/>
    <w:rsid w:val="00794D78"/>
    <w:rsid w:val="007966B5"/>
    <w:rsid w:val="0079706A"/>
    <w:rsid w:val="007A1356"/>
    <w:rsid w:val="007A140B"/>
    <w:rsid w:val="007A766A"/>
    <w:rsid w:val="007B18B7"/>
    <w:rsid w:val="007B1DB7"/>
    <w:rsid w:val="007B2FE1"/>
    <w:rsid w:val="007B34B7"/>
    <w:rsid w:val="007C0944"/>
    <w:rsid w:val="007C35F3"/>
    <w:rsid w:val="007C3E62"/>
    <w:rsid w:val="007C53BE"/>
    <w:rsid w:val="007C74B6"/>
    <w:rsid w:val="007C75F9"/>
    <w:rsid w:val="007D18F7"/>
    <w:rsid w:val="007D2F68"/>
    <w:rsid w:val="007D5A23"/>
    <w:rsid w:val="007D60AD"/>
    <w:rsid w:val="007D6582"/>
    <w:rsid w:val="007D65FF"/>
    <w:rsid w:val="007D6976"/>
    <w:rsid w:val="007E12AB"/>
    <w:rsid w:val="007E1B6D"/>
    <w:rsid w:val="007E1C0E"/>
    <w:rsid w:val="007E4658"/>
    <w:rsid w:val="007F094A"/>
    <w:rsid w:val="007F123C"/>
    <w:rsid w:val="007F1561"/>
    <w:rsid w:val="007F31BA"/>
    <w:rsid w:val="007F4122"/>
    <w:rsid w:val="0080005C"/>
    <w:rsid w:val="00800178"/>
    <w:rsid w:val="00803A26"/>
    <w:rsid w:val="008117E1"/>
    <w:rsid w:val="00812264"/>
    <w:rsid w:val="008128AC"/>
    <w:rsid w:val="008137DE"/>
    <w:rsid w:val="00816A9B"/>
    <w:rsid w:val="00821926"/>
    <w:rsid w:val="008246ED"/>
    <w:rsid w:val="0082557C"/>
    <w:rsid w:val="008317B1"/>
    <w:rsid w:val="00832586"/>
    <w:rsid w:val="00832789"/>
    <w:rsid w:val="00835D14"/>
    <w:rsid w:val="008379B2"/>
    <w:rsid w:val="0084077D"/>
    <w:rsid w:val="00843B2D"/>
    <w:rsid w:val="00845B3F"/>
    <w:rsid w:val="00845DB5"/>
    <w:rsid w:val="00845F48"/>
    <w:rsid w:val="00851603"/>
    <w:rsid w:val="00853045"/>
    <w:rsid w:val="008547EC"/>
    <w:rsid w:val="00855B55"/>
    <w:rsid w:val="00856CED"/>
    <w:rsid w:val="008635AD"/>
    <w:rsid w:val="00864766"/>
    <w:rsid w:val="00864832"/>
    <w:rsid w:val="0086509C"/>
    <w:rsid w:val="00866C74"/>
    <w:rsid w:val="008678A4"/>
    <w:rsid w:val="00867B11"/>
    <w:rsid w:val="00870A89"/>
    <w:rsid w:val="008716D6"/>
    <w:rsid w:val="00873F16"/>
    <w:rsid w:val="00876F1D"/>
    <w:rsid w:val="00880E22"/>
    <w:rsid w:val="00881DF6"/>
    <w:rsid w:val="00882A0A"/>
    <w:rsid w:val="00885CE5"/>
    <w:rsid w:val="00886AC4"/>
    <w:rsid w:val="00886BF2"/>
    <w:rsid w:val="00887279"/>
    <w:rsid w:val="00890F44"/>
    <w:rsid w:val="00891BEB"/>
    <w:rsid w:val="0089206F"/>
    <w:rsid w:val="008935B0"/>
    <w:rsid w:val="0089375F"/>
    <w:rsid w:val="008A010A"/>
    <w:rsid w:val="008A44EE"/>
    <w:rsid w:val="008A4778"/>
    <w:rsid w:val="008A55DC"/>
    <w:rsid w:val="008A7C11"/>
    <w:rsid w:val="008B1382"/>
    <w:rsid w:val="008B2DEF"/>
    <w:rsid w:val="008B3F96"/>
    <w:rsid w:val="008B4633"/>
    <w:rsid w:val="008B4AE5"/>
    <w:rsid w:val="008B5B87"/>
    <w:rsid w:val="008B7868"/>
    <w:rsid w:val="008C241E"/>
    <w:rsid w:val="008C2FEC"/>
    <w:rsid w:val="008C3EB4"/>
    <w:rsid w:val="008C4370"/>
    <w:rsid w:val="008C6310"/>
    <w:rsid w:val="008C7D7C"/>
    <w:rsid w:val="008D13E3"/>
    <w:rsid w:val="008D337B"/>
    <w:rsid w:val="008D4B12"/>
    <w:rsid w:val="008D70FC"/>
    <w:rsid w:val="008D7CBD"/>
    <w:rsid w:val="008E02C3"/>
    <w:rsid w:val="008E1E1C"/>
    <w:rsid w:val="008E1EB5"/>
    <w:rsid w:val="008E416D"/>
    <w:rsid w:val="008E699D"/>
    <w:rsid w:val="008F44C3"/>
    <w:rsid w:val="008F5A27"/>
    <w:rsid w:val="009003AA"/>
    <w:rsid w:val="009016FD"/>
    <w:rsid w:val="00903886"/>
    <w:rsid w:val="0090452A"/>
    <w:rsid w:val="00905A6F"/>
    <w:rsid w:val="00912D11"/>
    <w:rsid w:val="00913CD1"/>
    <w:rsid w:val="00914B31"/>
    <w:rsid w:val="00921D8A"/>
    <w:rsid w:val="00922003"/>
    <w:rsid w:val="00925BBD"/>
    <w:rsid w:val="009260C7"/>
    <w:rsid w:val="00926777"/>
    <w:rsid w:val="00930EB0"/>
    <w:rsid w:val="00931665"/>
    <w:rsid w:val="00933D73"/>
    <w:rsid w:val="009372F1"/>
    <w:rsid w:val="009423C6"/>
    <w:rsid w:val="00943F7A"/>
    <w:rsid w:val="00943FBD"/>
    <w:rsid w:val="009470E6"/>
    <w:rsid w:val="00951F8A"/>
    <w:rsid w:val="0095211F"/>
    <w:rsid w:val="009523A0"/>
    <w:rsid w:val="00952F54"/>
    <w:rsid w:val="0095518D"/>
    <w:rsid w:val="0096046B"/>
    <w:rsid w:val="00960690"/>
    <w:rsid w:val="009612C9"/>
    <w:rsid w:val="00961760"/>
    <w:rsid w:val="009622EE"/>
    <w:rsid w:val="00962E3D"/>
    <w:rsid w:val="00963206"/>
    <w:rsid w:val="00963BFB"/>
    <w:rsid w:val="009668D8"/>
    <w:rsid w:val="00966A07"/>
    <w:rsid w:val="0097011E"/>
    <w:rsid w:val="00972326"/>
    <w:rsid w:val="009731FE"/>
    <w:rsid w:val="00977207"/>
    <w:rsid w:val="00980E7A"/>
    <w:rsid w:val="009818F8"/>
    <w:rsid w:val="0098225C"/>
    <w:rsid w:val="0098264C"/>
    <w:rsid w:val="0098288E"/>
    <w:rsid w:val="00983ECA"/>
    <w:rsid w:val="00983FFB"/>
    <w:rsid w:val="00986782"/>
    <w:rsid w:val="009879CF"/>
    <w:rsid w:val="00992FF9"/>
    <w:rsid w:val="009936F9"/>
    <w:rsid w:val="00993A4B"/>
    <w:rsid w:val="00993E72"/>
    <w:rsid w:val="0099473B"/>
    <w:rsid w:val="00994D6B"/>
    <w:rsid w:val="009964D3"/>
    <w:rsid w:val="00997CDE"/>
    <w:rsid w:val="00997FC5"/>
    <w:rsid w:val="009A0CE0"/>
    <w:rsid w:val="009A55DA"/>
    <w:rsid w:val="009A685A"/>
    <w:rsid w:val="009B17FA"/>
    <w:rsid w:val="009B3910"/>
    <w:rsid w:val="009B3936"/>
    <w:rsid w:val="009B39BB"/>
    <w:rsid w:val="009B6367"/>
    <w:rsid w:val="009B6FE1"/>
    <w:rsid w:val="009B7609"/>
    <w:rsid w:val="009C181D"/>
    <w:rsid w:val="009C2BE4"/>
    <w:rsid w:val="009C4B7A"/>
    <w:rsid w:val="009C7226"/>
    <w:rsid w:val="009C764D"/>
    <w:rsid w:val="009C7EC1"/>
    <w:rsid w:val="009D3072"/>
    <w:rsid w:val="009D4FB9"/>
    <w:rsid w:val="009D5718"/>
    <w:rsid w:val="009D736A"/>
    <w:rsid w:val="009E2393"/>
    <w:rsid w:val="009E2655"/>
    <w:rsid w:val="009E4416"/>
    <w:rsid w:val="009E4713"/>
    <w:rsid w:val="009E729E"/>
    <w:rsid w:val="009F0D4D"/>
    <w:rsid w:val="009F48F6"/>
    <w:rsid w:val="009F5D88"/>
    <w:rsid w:val="009F697B"/>
    <w:rsid w:val="009F6A78"/>
    <w:rsid w:val="009F763D"/>
    <w:rsid w:val="00A01EB5"/>
    <w:rsid w:val="00A035B7"/>
    <w:rsid w:val="00A04866"/>
    <w:rsid w:val="00A04876"/>
    <w:rsid w:val="00A05DEA"/>
    <w:rsid w:val="00A10016"/>
    <w:rsid w:val="00A1182F"/>
    <w:rsid w:val="00A11D7F"/>
    <w:rsid w:val="00A120E0"/>
    <w:rsid w:val="00A12B24"/>
    <w:rsid w:val="00A15AE7"/>
    <w:rsid w:val="00A16FBE"/>
    <w:rsid w:val="00A20DF7"/>
    <w:rsid w:val="00A20DFD"/>
    <w:rsid w:val="00A20FC0"/>
    <w:rsid w:val="00A22D3B"/>
    <w:rsid w:val="00A26D1B"/>
    <w:rsid w:val="00A3088A"/>
    <w:rsid w:val="00A3358D"/>
    <w:rsid w:val="00A35AF5"/>
    <w:rsid w:val="00A3696E"/>
    <w:rsid w:val="00A36AEA"/>
    <w:rsid w:val="00A37DC2"/>
    <w:rsid w:val="00A434E2"/>
    <w:rsid w:val="00A461BE"/>
    <w:rsid w:val="00A47880"/>
    <w:rsid w:val="00A500A4"/>
    <w:rsid w:val="00A50935"/>
    <w:rsid w:val="00A519DD"/>
    <w:rsid w:val="00A53624"/>
    <w:rsid w:val="00A53AF4"/>
    <w:rsid w:val="00A54937"/>
    <w:rsid w:val="00A577A7"/>
    <w:rsid w:val="00A5783A"/>
    <w:rsid w:val="00A62AC6"/>
    <w:rsid w:val="00A63994"/>
    <w:rsid w:val="00A64F97"/>
    <w:rsid w:val="00A6573C"/>
    <w:rsid w:val="00A6610C"/>
    <w:rsid w:val="00A671E8"/>
    <w:rsid w:val="00A674DC"/>
    <w:rsid w:val="00A67F4A"/>
    <w:rsid w:val="00A726E9"/>
    <w:rsid w:val="00A73470"/>
    <w:rsid w:val="00A73F35"/>
    <w:rsid w:val="00A747C1"/>
    <w:rsid w:val="00A81D62"/>
    <w:rsid w:val="00A81EAF"/>
    <w:rsid w:val="00A833EB"/>
    <w:rsid w:val="00A86370"/>
    <w:rsid w:val="00A8681E"/>
    <w:rsid w:val="00A86946"/>
    <w:rsid w:val="00A87F80"/>
    <w:rsid w:val="00A9148E"/>
    <w:rsid w:val="00A91AD4"/>
    <w:rsid w:val="00A93EB2"/>
    <w:rsid w:val="00A94279"/>
    <w:rsid w:val="00A95168"/>
    <w:rsid w:val="00AA1933"/>
    <w:rsid w:val="00AA616D"/>
    <w:rsid w:val="00AB06F0"/>
    <w:rsid w:val="00AB11EB"/>
    <w:rsid w:val="00AB133C"/>
    <w:rsid w:val="00AB59DC"/>
    <w:rsid w:val="00AB760C"/>
    <w:rsid w:val="00AB7CFC"/>
    <w:rsid w:val="00AB7DF9"/>
    <w:rsid w:val="00AC01D1"/>
    <w:rsid w:val="00AC0878"/>
    <w:rsid w:val="00AC4907"/>
    <w:rsid w:val="00AD05EC"/>
    <w:rsid w:val="00AD06A9"/>
    <w:rsid w:val="00AD15D7"/>
    <w:rsid w:val="00AD1B8D"/>
    <w:rsid w:val="00AD40CB"/>
    <w:rsid w:val="00AD700E"/>
    <w:rsid w:val="00AD7C49"/>
    <w:rsid w:val="00AD7D61"/>
    <w:rsid w:val="00AD7EC5"/>
    <w:rsid w:val="00AE1F3F"/>
    <w:rsid w:val="00AE33C9"/>
    <w:rsid w:val="00AE5462"/>
    <w:rsid w:val="00AF0748"/>
    <w:rsid w:val="00AF1D5B"/>
    <w:rsid w:val="00AF37D5"/>
    <w:rsid w:val="00AF5296"/>
    <w:rsid w:val="00AF6014"/>
    <w:rsid w:val="00B002BF"/>
    <w:rsid w:val="00B009B0"/>
    <w:rsid w:val="00B009F5"/>
    <w:rsid w:val="00B01867"/>
    <w:rsid w:val="00B0233A"/>
    <w:rsid w:val="00B032B8"/>
    <w:rsid w:val="00B039EA"/>
    <w:rsid w:val="00B0532F"/>
    <w:rsid w:val="00B05E81"/>
    <w:rsid w:val="00B063B8"/>
    <w:rsid w:val="00B06661"/>
    <w:rsid w:val="00B10EE6"/>
    <w:rsid w:val="00B10FB9"/>
    <w:rsid w:val="00B133A5"/>
    <w:rsid w:val="00B13EF6"/>
    <w:rsid w:val="00B1401E"/>
    <w:rsid w:val="00B158DC"/>
    <w:rsid w:val="00B159E3"/>
    <w:rsid w:val="00B2401C"/>
    <w:rsid w:val="00B26DBE"/>
    <w:rsid w:val="00B27563"/>
    <w:rsid w:val="00B31324"/>
    <w:rsid w:val="00B32E22"/>
    <w:rsid w:val="00B34365"/>
    <w:rsid w:val="00B36008"/>
    <w:rsid w:val="00B373B8"/>
    <w:rsid w:val="00B40079"/>
    <w:rsid w:val="00B40122"/>
    <w:rsid w:val="00B40489"/>
    <w:rsid w:val="00B40EE2"/>
    <w:rsid w:val="00B41BAD"/>
    <w:rsid w:val="00B42FEC"/>
    <w:rsid w:val="00B44049"/>
    <w:rsid w:val="00B45E99"/>
    <w:rsid w:val="00B4794A"/>
    <w:rsid w:val="00B51782"/>
    <w:rsid w:val="00B535F5"/>
    <w:rsid w:val="00B5391D"/>
    <w:rsid w:val="00B54833"/>
    <w:rsid w:val="00B56574"/>
    <w:rsid w:val="00B5765A"/>
    <w:rsid w:val="00B60965"/>
    <w:rsid w:val="00B6232D"/>
    <w:rsid w:val="00B6272F"/>
    <w:rsid w:val="00B63171"/>
    <w:rsid w:val="00B646DB"/>
    <w:rsid w:val="00B65E3F"/>
    <w:rsid w:val="00B70312"/>
    <w:rsid w:val="00B7131B"/>
    <w:rsid w:val="00B75460"/>
    <w:rsid w:val="00B763EE"/>
    <w:rsid w:val="00B767CC"/>
    <w:rsid w:val="00B77DF7"/>
    <w:rsid w:val="00B80361"/>
    <w:rsid w:val="00B80E63"/>
    <w:rsid w:val="00B8166A"/>
    <w:rsid w:val="00B81AA4"/>
    <w:rsid w:val="00B83055"/>
    <w:rsid w:val="00B843E9"/>
    <w:rsid w:val="00B85F00"/>
    <w:rsid w:val="00B870C8"/>
    <w:rsid w:val="00B904DE"/>
    <w:rsid w:val="00B95243"/>
    <w:rsid w:val="00B97677"/>
    <w:rsid w:val="00B97969"/>
    <w:rsid w:val="00BA1C27"/>
    <w:rsid w:val="00BA32AC"/>
    <w:rsid w:val="00BA350C"/>
    <w:rsid w:val="00BA3B26"/>
    <w:rsid w:val="00BA45CF"/>
    <w:rsid w:val="00BA4854"/>
    <w:rsid w:val="00BA515A"/>
    <w:rsid w:val="00BA58A2"/>
    <w:rsid w:val="00BA7D7D"/>
    <w:rsid w:val="00BB2E86"/>
    <w:rsid w:val="00BB3034"/>
    <w:rsid w:val="00BB3168"/>
    <w:rsid w:val="00BB3EFA"/>
    <w:rsid w:val="00BB53C8"/>
    <w:rsid w:val="00BB66A5"/>
    <w:rsid w:val="00BC24CF"/>
    <w:rsid w:val="00BC28F1"/>
    <w:rsid w:val="00BC7D60"/>
    <w:rsid w:val="00BD0DE6"/>
    <w:rsid w:val="00BD275C"/>
    <w:rsid w:val="00BD5CE9"/>
    <w:rsid w:val="00BD6CC0"/>
    <w:rsid w:val="00BD7195"/>
    <w:rsid w:val="00BE2ECD"/>
    <w:rsid w:val="00BE2F9B"/>
    <w:rsid w:val="00BE4662"/>
    <w:rsid w:val="00BE6CCF"/>
    <w:rsid w:val="00BF301D"/>
    <w:rsid w:val="00BF5816"/>
    <w:rsid w:val="00BF61BE"/>
    <w:rsid w:val="00C02B59"/>
    <w:rsid w:val="00C03DC5"/>
    <w:rsid w:val="00C03EBA"/>
    <w:rsid w:val="00C1087E"/>
    <w:rsid w:val="00C11B53"/>
    <w:rsid w:val="00C229D6"/>
    <w:rsid w:val="00C22AA9"/>
    <w:rsid w:val="00C259E0"/>
    <w:rsid w:val="00C27470"/>
    <w:rsid w:val="00C27EDC"/>
    <w:rsid w:val="00C318B4"/>
    <w:rsid w:val="00C33C32"/>
    <w:rsid w:val="00C346E3"/>
    <w:rsid w:val="00C34801"/>
    <w:rsid w:val="00C35606"/>
    <w:rsid w:val="00C35FDC"/>
    <w:rsid w:val="00C419FB"/>
    <w:rsid w:val="00C425C3"/>
    <w:rsid w:val="00C43332"/>
    <w:rsid w:val="00C466A3"/>
    <w:rsid w:val="00C471F3"/>
    <w:rsid w:val="00C529C0"/>
    <w:rsid w:val="00C53771"/>
    <w:rsid w:val="00C55A67"/>
    <w:rsid w:val="00C55B5A"/>
    <w:rsid w:val="00C57318"/>
    <w:rsid w:val="00C57AB3"/>
    <w:rsid w:val="00C61C04"/>
    <w:rsid w:val="00C61CC2"/>
    <w:rsid w:val="00C61CD3"/>
    <w:rsid w:val="00C61CE5"/>
    <w:rsid w:val="00C634E6"/>
    <w:rsid w:val="00C6661E"/>
    <w:rsid w:val="00C66723"/>
    <w:rsid w:val="00C67485"/>
    <w:rsid w:val="00C67C5A"/>
    <w:rsid w:val="00C71199"/>
    <w:rsid w:val="00C73404"/>
    <w:rsid w:val="00C74350"/>
    <w:rsid w:val="00C74FEA"/>
    <w:rsid w:val="00C7630A"/>
    <w:rsid w:val="00C77399"/>
    <w:rsid w:val="00C77931"/>
    <w:rsid w:val="00C81948"/>
    <w:rsid w:val="00C81C10"/>
    <w:rsid w:val="00C81CA7"/>
    <w:rsid w:val="00C8373F"/>
    <w:rsid w:val="00C8640A"/>
    <w:rsid w:val="00C8767C"/>
    <w:rsid w:val="00C87734"/>
    <w:rsid w:val="00C947B6"/>
    <w:rsid w:val="00C950D7"/>
    <w:rsid w:val="00CA048D"/>
    <w:rsid w:val="00CA565A"/>
    <w:rsid w:val="00CA7D6E"/>
    <w:rsid w:val="00CB04A3"/>
    <w:rsid w:val="00CC0197"/>
    <w:rsid w:val="00CC1AB8"/>
    <w:rsid w:val="00CC2D98"/>
    <w:rsid w:val="00CC2F69"/>
    <w:rsid w:val="00CC4CBF"/>
    <w:rsid w:val="00CC6530"/>
    <w:rsid w:val="00CD0C7C"/>
    <w:rsid w:val="00CD0E1A"/>
    <w:rsid w:val="00CD604B"/>
    <w:rsid w:val="00CE0581"/>
    <w:rsid w:val="00CE2B2F"/>
    <w:rsid w:val="00CE44F6"/>
    <w:rsid w:val="00CE634E"/>
    <w:rsid w:val="00CE660D"/>
    <w:rsid w:val="00CE7A11"/>
    <w:rsid w:val="00CF16D9"/>
    <w:rsid w:val="00CF1718"/>
    <w:rsid w:val="00CF181A"/>
    <w:rsid w:val="00CF209C"/>
    <w:rsid w:val="00CF2602"/>
    <w:rsid w:val="00CF2CF2"/>
    <w:rsid w:val="00CF59A9"/>
    <w:rsid w:val="00CF5F7D"/>
    <w:rsid w:val="00CF6FCD"/>
    <w:rsid w:val="00CF75EB"/>
    <w:rsid w:val="00CF78C3"/>
    <w:rsid w:val="00D005F9"/>
    <w:rsid w:val="00D03970"/>
    <w:rsid w:val="00D03CCD"/>
    <w:rsid w:val="00D04271"/>
    <w:rsid w:val="00D067EE"/>
    <w:rsid w:val="00D06CB0"/>
    <w:rsid w:val="00D06F1E"/>
    <w:rsid w:val="00D10478"/>
    <w:rsid w:val="00D10622"/>
    <w:rsid w:val="00D117DC"/>
    <w:rsid w:val="00D1393A"/>
    <w:rsid w:val="00D14B01"/>
    <w:rsid w:val="00D15460"/>
    <w:rsid w:val="00D20650"/>
    <w:rsid w:val="00D24299"/>
    <w:rsid w:val="00D27930"/>
    <w:rsid w:val="00D31B32"/>
    <w:rsid w:val="00D321B2"/>
    <w:rsid w:val="00D324A2"/>
    <w:rsid w:val="00D32AF7"/>
    <w:rsid w:val="00D351B6"/>
    <w:rsid w:val="00D35ECF"/>
    <w:rsid w:val="00D369A9"/>
    <w:rsid w:val="00D36C64"/>
    <w:rsid w:val="00D377D1"/>
    <w:rsid w:val="00D37C93"/>
    <w:rsid w:val="00D40701"/>
    <w:rsid w:val="00D41906"/>
    <w:rsid w:val="00D440FB"/>
    <w:rsid w:val="00D45C1C"/>
    <w:rsid w:val="00D47429"/>
    <w:rsid w:val="00D56B78"/>
    <w:rsid w:val="00D56CC8"/>
    <w:rsid w:val="00D57227"/>
    <w:rsid w:val="00D60270"/>
    <w:rsid w:val="00D60DD4"/>
    <w:rsid w:val="00D6263E"/>
    <w:rsid w:val="00D65B89"/>
    <w:rsid w:val="00D71926"/>
    <w:rsid w:val="00D71991"/>
    <w:rsid w:val="00D73D32"/>
    <w:rsid w:val="00D74B6F"/>
    <w:rsid w:val="00D75FB3"/>
    <w:rsid w:val="00D760E7"/>
    <w:rsid w:val="00D7616C"/>
    <w:rsid w:val="00D77997"/>
    <w:rsid w:val="00D809FC"/>
    <w:rsid w:val="00D82AE3"/>
    <w:rsid w:val="00D83172"/>
    <w:rsid w:val="00D8611D"/>
    <w:rsid w:val="00D90CD4"/>
    <w:rsid w:val="00D9224E"/>
    <w:rsid w:val="00D93922"/>
    <w:rsid w:val="00D97068"/>
    <w:rsid w:val="00D97B2A"/>
    <w:rsid w:val="00DA29A4"/>
    <w:rsid w:val="00DA337A"/>
    <w:rsid w:val="00DA3ED5"/>
    <w:rsid w:val="00DA6D88"/>
    <w:rsid w:val="00DA6F37"/>
    <w:rsid w:val="00DA72E7"/>
    <w:rsid w:val="00DB0A53"/>
    <w:rsid w:val="00DB1667"/>
    <w:rsid w:val="00DB189C"/>
    <w:rsid w:val="00DB46A2"/>
    <w:rsid w:val="00DB590E"/>
    <w:rsid w:val="00DC23A0"/>
    <w:rsid w:val="00DC27EB"/>
    <w:rsid w:val="00DC3A43"/>
    <w:rsid w:val="00DC4A99"/>
    <w:rsid w:val="00DC4D7E"/>
    <w:rsid w:val="00DD5C36"/>
    <w:rsid w:val="00DD5D77"/>
    <w:rsid w:val="00DD66D3"/>
    <w:rsid w:val="00DE087D"/>
    <w:rsid w:val="00DE32F9"/>
    <w:rsid w:val="00DE601B"/>
    <w:rsid w:val="00DF21DE"/>
    <w:rsid w:val="00DF2C33"/>
    <w:rsid w:val="00DF2DBB"/>
    <w:rsid w:val="00DF300B"/>
    <w:rsid w:val="00DF454D"/>
    <w:rsid w:val="00E00594"/>
    <w:rsid w:val="00E01E3F"/>
    <w:rsid w:val="00E0716D"/>
    <w:rsid w:val="00E131F4"/>
    <w:rsid w:val="00E2194F"/>
    <w:rsid w:val="00E21E3A"/>
    <w:rsid w:val="00E26DDD"/>
    <w:rsid w:val="00E27F55"/>
    <w:rsid w:val="00E32212"/>
    <w:rsid w:val="00E3226B"/>
    <w:rsid w:val="00E34556"/>
    <w:rsid w:val="00E35472"/>
    <w:rsid w:val="00E37D33"/>
    <w:rsid w:val="00E402BF"/>
    <w:rsid w:val="00E4136F"/>
    <w:rsid w:val="00E4199F"/>
    <w:rsid w:val="00E42293"/>
    <w:rsid w:val="00E43F58"/>
    <w:rsid w:val="00E455B8"/>
    <w:rsid w:val="00E46B11"/>
    <w:rsid w:val="00E46EDA"/>
    <w:rsid w:val="00E50B17"/>
    <w:rsid w:val="00E522B1"/>
    <w:rsid w:val="00E53317"/>
    <w:rsid w:val="00E53C5B"/>
    <w:rsid w:val="00E55B7A"/>
    <w:rsid w:val="00E60354"/>
    <w:rsid w:val="00E6097C"/>
    <w:rsid w:val="00E611FC"/>
    <w:rsid w:val="00E63E99"/>
    <w:rsid w:val="00E660F7"/>
    <w:rsid w:val="00E667B7"/>
    <w:rsid w:val="00E67A41"/>
    <w:rsid w:val="00E71142"/>
    <w:rsid w:val="00E718F6"/>
    <w:rsid w:val="00E728C2"/>
    <w:rsid w:val="00E73E68"/>
    <w:rsid w:val="00E76F7E"/>
    <w:rsid w:val="00E81D2A"/>
    <w:rsid w:val="00E848D8"/>
    <w:rsid w:val="00E86BDD"/>
    <w:rsid w:val="00E91377"/>
    <w:rsid w:val="00E921AA"/>
    <w:rsid w:val="00E94B65"/>
    <w:rsid w:val="00E96306"/>
    <w:rsid w:val="00E97F02"/>
    <w:rsid w:val="00E97F39"/>
    <w:rsid w:val="00EA1CA2"/>
    <w:rsid w:val="00EA608E"/>
    <w:rsid w:val="00EA7A43"/>
    <w:rsid w:val="00EB1F76"/>
    <w:rsid w:val="00EC05C7"/>
    <w:rsid w:val="00EC0F03"/>
    <w:rsid w:val="00EC17FD"/>
    <w:rsid w:val="00EC2BA5"/>
    <w:rsid w:val="00EC2D0E"/>
    <w:rsid w:val="00EC3C1E"/>
    <w:rsid w:val="00EC4C20"/>
    <w:rsid w:val="00EC4FE7"/>
    <w:rsid w:val="00EC68A1"/>
    <w:rsid w:val="00EC6A64"/>
    <w:rsid w:val="00EC780B"/>
    <w:rsid w:val="00ED1852"/>
    <w:rsid w:val="00ED3236"/>
    <w:rsid w:val="00ED4ABD"/>
    <w:rsid w:val="00ED50D9"/>
    <w:rsid w:val="00ED5310"/>
    <w:rsid w:val="00ED577A"/>
    <w:rsid w:val="00ED74B5"/>
    <w:rsid w:val="00EE19FF"/>
    <w:rsid w:val="00EE257F"/>
    <w:rsid w:val="00EE5F35"/>
    <w:rsid w:val="00EF0A7D"/>
    <w:rsid w:val="00EF1137"/>
    <w:rsid w:val="00EF1B53"/>
    <w:rsid w:val="00EF25AA"/>
    <w:rsid w:val="00EF4CFB"/>
    <w:rsid w:val="00EF50FF"/>
    <w:rsid w:val="00EF5A69"/>
    <w:rsid w:val="00EF7F64"/>
    <w:rsid w:val="00F0390F"/>
    <w:rsid w:val="00F0400E"/>
    <w:rsid w:val="00F049F8"/>
    <w:rsid w:val="00F04A8B"/>
    <w:rsid w:val="00F0562F"/>
    <w:rsid w:val="00F062F1"/>
    <w:rsid w:val="00F10C86"/>
    <w:rsid w:val="00F10CE0"/>
    <w:rsid w:val="00F11CEB"/>
    <w:rsid w:val="00F12183"/>
    <w:rsid w:val="00F12FCF"/>
    <w:rsid w:val="00F146CD"/>
    <w:rsid w:val="00F1481C"/>
    <w:rsid w:val="00F15853"/>
    <w:rsid w:val="00F1715F"/>
    <w:rsid w:val="00F17A17"/>
    <w:rsid w:val="00F20BA1"/>
    <w:rsid w:val="00F212C9"/>
    <w:rsid w:val="00F2145A"/>
    <w:rsid w:val="00F2425C"/>
    <w:rsid w:val="00F244CA"/>
    <w:rsid w:val="00F25225"/>
    <w:rsid w:val="00F255C7"/>
    <w:rsid w:val="00F266B8"/>
    <w:rsid w:val="00F27E13"/>
    <w:rsid w:val="00F35626"/>
    <w:rsid w:val="00F37F94"/>
    <w:rsid w:val="00F405EC"/>
    <w:rsid w:val="00F4396E"/>
    <w:rsid w:val="00F5092B"/>
    <w:rsid w:val="00F50D94"/>
    <w:rsid w:val="00F52B43"/>
    <w:rsid w:val="00F576B5"/>
    <w:rsid w:val="00F606ED"/>
    <w:rsid w:val="00F616AF"/>
    <w:rsid w:val="00F6231F"/>
    <w:rsid w:val="00F631A3"/>
    <w:rsid w:val="00F6387B"/>
    <w:rsid w:val="00F63CA9"/>
    <w:rsid w:val="00F63F84"/>
    <w:rsid w:val="00F65182"/>
    <w:rsid w:val="00F65C05"/>
    <w:rsid w:val="00F7006B"/>
    <w:rsid w:val="00F77A9E"/>
    <w:rsid w:val="00F80AC9"/>
    <w:rsid w:val="00F80DD5"/>
    <w:rsid w:val="00F81223"/>
    <w:rsid w:val="00F83A66"/>
    <w:rsid w:val="00F85428"/>
    <w:rsid w:val="00F87008"/>
    <w:rsid w:val="00F87C58"/>
    <w:rsid w:val="00F90438"/>
    <w:rsid w:val="00F94B7D"/>
    <w:rsid w:val="00F94E26"/>
    <w:rsid w:val="00F961A2"/>
    <w:rsid w:val="00FA26DA"/>
    <w:rsid w:val="00FA2CB2"/>
    <w:rsid w:val="00FA3071"/>
    <w:rsid w:val="00FA5402"/>
    <w:rsid w:val="00FA6653"/>
    <w:rsid w:val="00FB1A04"/>
    <w:rsid w:val="00FB36FC"/>
    <w:rsid w:val="00FB4620"/>
    <w:rsid w:val="00FB6A80"/>
    <w:rsid w:val="00FC2304"/>
    <w:rsid w:val="00FD2535"/>
    <w:rsid w:val="00FD3770"/>
    <w:rsid w:val="00FD42D6"/>
    <w:rsid w:val="00FD586D"/>
    <w:rsid w:val="00FD7B44"/>
    <w:rsid w:val="00FF4E32"/>
    <w:rsid w:val="00FF50DD"/>
    <w:rsid w:val="00FF5547"/>
    <w:rsid w:val="00FF75D7"/>
    <w:rsid w:val="00FF7E86"/>
    <w:rsid w:val="0CC9E962"/>
    <w:rsid w:val="5DA5813D"/>
    <w:rsid w:val="60A0FE0E"/>
    <w:rsid w:val="67E4EC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490F94"/>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490F94"/>
    <w:rPr>
      <w:sz w:val="20"/>
    </w:rPr>
  </w:style>
  <w:style w:type="character" w:styleId="CommentReference">
    <w:name w:val="annotation reference"/>
    <w:basedOn w:val="DefaultParagraphFont"/>
    <w:uiPriority w:val="99"/>
    <w:semiHidden/>
    <w:unhideWhenUsed/>
    <w:locked/>
    <w:rsid w:val="00490F94"/>
    <w:rPr>
      <w:sz w:val="16"/>
      <w:szCs w:val="16"/>
    </w:rPr>
  </w:style>
  <w:style w:type="paragraph" w:styleId="CommentText">
    <w:name w:val="annotation text"/>
    <w:basedOn w:val="Normal"/>
    <w:link w:val="CommentTextChar"/>
    <w:uiPriority w:val="99"/>
    <w:unhideWhenUsed/>
    <w:locked/>
    <w:rsid w:val="00490F94"/>
    <w:rPr>
      <w:rFonts w:eastAsiaTheme="minorHAnsi" w:cstheme="minorBidi"/>
      <w:sz w:val="20"/>
      <w:lang w:val="en-US" w:eastAsia="en-US"/>
    </w:rPr>
  </w:style>
  <w:style w:type="character" w:customStyle="1" w:styleId="CommentTextChar">
    <w:name w:val="Comment Text Char"/>
    <w:basedOn w:val="DefaultParagraphFont"/>
    <w:link w:val="CommentText"/>
    <w:uiPriority w:val="99"/>
    <w:rsid w:val="00490F94"/>
    <w:rPr>
      <w:rFonts w:eastAsiaTheme="minorHAnsi" w:cstheme="minorBidi"/>
      <w:sz w:val="20"/>
      <w:lang w:val="en-US"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490F94"/>
    <w:rPr>
      <w:vertAlign w:val="superscript"/>
    </w:rPr>
  </w:style>
  <w:style w:type="character" w:customStyle="1" w:styleId="TitleChar">
    <w:name w:val="Title Char"/>
    <w:basedOn w:val="DefaultParagraphFont"/>
    <w:link w:val="Title"/>
    <w:uiPriority w:val="10"/>
    <w:rsid w:val="00490F94"/>
    <w:rPr>
      <w:b/>
      <w:kern w:val="28"/>
      <w:sz w:val="48"/>
    </w:rPr>
  </w:style>
  <w:style w:type="table" w:styleId="GridTable7Colorful-Accent6">
    <w:name w:val="Grid Table 7 Colorful Accent 6"/>
    <w:basedOn w:val="TableNormal"/>
    <w:uiPriority w:val="52"/>
    <w:locked/>
    <w:rsid w:val="00490F94"/>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490F94"/>
    <w:rPr>
      <w:b/>
      <w:smallCaps/>
    </w:rPr>
  </w:style>
  <w:style w:type="character" w:customStyle="1" w:styleId="Heading2Char">
    <w:name w:val="Heading 2 Char"/>
    <w:basedOn w:val="DefaultParagraphFont"/>
    <w:link w:val="Heading2"/>
    <w:uiPriority w:val="9"/>
    <w:rsid w:val="00490F94"/>
    <w:rPr>
      <w:b/>
    </w:rPr>
  </w:style>
  <w:style w:type="character" w:customStyle="1" w:styleId="Heading3Char">
    <w:name w:val="Heading 3 Char"/>
    <w:basedOn w:val="DefaultParagraphFont"/>
    <w:link w:val="Heading3"/>
    <w:uiPriority w:val="9"/>
    <w:rsid w:val="00490F94"/>
    <w:rPr>
      <w:i/>
    </w:rPr>
  </w:style>
  <w:style w:type="character" w:customStyle="1" w:styleId="Heading4Char">
    <w:name w:val="Heading 4 Char"/>
    <w:basedOn w:val="DefaultParagraphFont"/>
    <w:link w:val="Heading4"/>
    <w:uiPriority w:val="9"/>
    <w:rsid w:val="00490F94"/>
  </w:style>
  <w:style w:type="character" w:customStyle="1" w:styleId="Heading5Char">
    <w:name w:val="Heading 5 Char"/>
    <w:basedOn w:val="DefaultParagraphFont"/>
    <w:link w:val="Heading5"/>
    <w:uiPriority w:val="9"/>
    <w:semiHidden/>
    <w:rsid w:val="00490F94"/>
  </w:style>
  <w:style w:type="character" w:customStyle="1" w:styleId="Heading6Char">
    <w:name w:val="Heading 6 Char"/>
    <w:basedOn w:val="DefaultParagraphFont"/>
    <w:link w:val="Heading6"/>
    <w:uiPriority w:val="9"/>
    <w:semiHidden/>
    <w:rsid w:val="00490F94"/>
  </w:style>
  <w:style w:type="character" w:customStyle="1" w:styleId="Heading7Char">
    <w:name w:val="Heading 7 Char"/>
    <w:basedOn w:val="DefaultParagraphFont"/>
    <w:link w:val="Heading7"/>
    <w:uiPriority w:val="9"/>
    <w:semiHidden/>
    <w:rsid w:val="00490F94"/>
  </w:style>
  <w:style w:type="character" w:customStyle="1" w:styleId="Heading8Char">
    <w:name w:val="Heading 8 Char"/>
    <w:basedOn w:val="DefaultParagraphFont"/>
    <w:link w:val="Heading8"/>
    <w:uiPriority w:val="9"/>
    <w:semiHidden/>
    <w:rsid w:val="00490F94"/>
  </w:style>
  <w:style w:type="character" w:customStyle="1" w:styleId="Heading9Char">
    <w:name w:val="Heading 9 Char"/>
    <w:basedOn w:val="DefaultParagraphFont"/>
    <w:link w:val="Heading9"/>
    <w:uiPriority w:val="9"/>
    <w:semiHidden/>
    <w:rsid w:val="00490F94"/>
  </w:style>
  <w:style w:type="paragraph" w:customStyle="1" w:styleId="FootnoteRoLReport">
    <w:name w:val="Footnote RoL Report"/>
    <w:basedOn w:val="FootnoteText"/>
    <w:link w:val="FootnoteRoLReportChar"/>
    <w:autoRedefine/>
    <w:qFormat/>
    <w:rsid w:val="00490F94"/>
    <w:pPr>
      <w:ind w:left="284" w:hanging="284"/>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490F94"/>
    <w:rPr>
      <w:rFonts w:eastAsiaTheme="minorHAnsi" w:cstheme="minorBidi"/>
      <w:sz w:val="20"/>
      <w:lang w:val="en-US" w:eastAsia="en-US"/>
    </w:rPr>
  </w:style>
  <w:style w:type="paragraph" w:styleId="ListParagraph">
    <w:name w:val="List Paragraph"/>
    <w:basedOn w:val="Normal"/>
    <w:uiPriority w:val="34"/>
    <w:qFormat/>
    <w:locked/>
    <w:rsid w:val="00490F94"/>
    <w:pPr>
      <w:ind w:left="720"/>
      <w:contextualSpacing/>
    </w:pPr>
    <w:rPr>
      <w:rFonts w:eastAsiaTheme="minorHAnsi" w:cstheme="minorBidi"/>
      <w:szCs w:val="22"/>
      <w:lang w:val="en-US"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90F94"/>
    <w:pPr>
      <w:spacing w:after="160" w:line="240" w:lineRule="exact"/>
    </w:pPr>
    <w:rPr>
      <w:vertAlign w:val="superscript"/>
    </w:rPr>
  </w:style>
  <w:style w:type="character" w:styleId="Hyperlink">
    <w:name w:val="Hyperlink"/>
    <w:basedOn w:val="DefaultParagraphFont"/>
    <w:uiPriority w:val="99"/>
    <w:unhideWhenUsed/>
    <w:locked/>
    <w:rsid w:val="00490F94"/>
    <w:rPr>
      <w:color w:val="0563C1" w:themeColor="hyperlink"/>
      <w:u w:val="single"/>
    </w:rPr>
  </w:style>
  <w:style w:type="paragraph" w:styleId="CommentSubject">
    <w:name w:val="annotation subject"/>
    <w:basedOn w:val="CommentText"/>
    <w:next w:val="CommentText"/>
    <w:link w:val="CommentSubjectChar"/>
    <w:uiPriority w:val="99"/>
    <w:semiHidden/>
    <w:unhideWhenUsed/>
    <w:locked/>
    <w:rsid w:val="00490F94"/>
    <w:rPr>
      <w:b/>
      <w:bCs/>
    </w:rPr>
  </w:style>
  <w:style w:type="character" w:customStyle="1" w:styleId="CommentSubjectChar">
    <w:name w:val="Comment Subject Char"/>
    <w:basedOn w:val="CommentTextChar"/>
    <w:link w:val="CommentSubject"/>
    <w:uiPriority w:val="99"/>
    <w:semiHidden/>
    <w:rsid w:val="00490F94"/>
    <w:rPr>
      <w:rFonts w:eastAsiaTheme="minorHAnsi" w:cstheme="minorBidi"/>
      <w:b/>
      <w:bCs/>
      <w:sz w:val="20"/>
      <w:lang w:val="en-US" w:eastAsia="en-US"/>
    </w:rPr>
  </w:style>
  <w:style w:type="character" w:customStyle="1" w:styleId="UnresolvedMention">
    <w:name w:val="Unresolved Mention"/>
    <w:basedOn w:val="DefaultParagraphFont"/>
    <w:uiPriority w:val="99"/>
    <w:semiHidden/>
    <w:unhideWhenUsed/>
    <w:rsid w:val="00490F94"/>
    <w:rPr>
      <w:color w:val="605E5C"/>
      <w:shd w:val="clear" w:color="auto" w:fill="E1DFDD"/>
    </w:rPr>
  </w:style>
  <w:style w:type="paragraph" w:styleId="Revision">
    <w:name w:val="Revision"/>
    <w:hidden/>
    <w:uiPriority w:val="99"/>
    <w:semiHidden/>
    <w:locked/>
    <w:rsid w:val="00490F94"/>
    <w:rPr>
      <w:rFonts w:eastAsiaTheme="minorHAnsi" w:cstheme="minorBidi"/>
      <w:szCs w:val="22"/>
      <w:lang w:val="en-US" w:eastAsia="en-US"/>
    </w:rPr>
  </w:style>
  <w:style w:type="character" w:styleId="FollowedHyperlink">
    <w:name w:val="FollowedHyperlink"/>
    <w:basedOn w:val="DefaultParagraphFont"/>
    <w:uiPriority w:val="99"/>
    <w:semiHidden/>
    <w:unhideWhenUsed/>
    <w:locked/>
    <w:rsid w:val="00490F94"/>
    <w:rPr>
      <w:color w:val="954F72" w:themeColor="followedHyperlink"/>
      <w:u w:val="single"/>
    </w:rPr>
  </w:style>
  <w:style w:type="character" w:customStyle="1" w:styleId="Mention">
    <w:name w:val="Mention"/>
    <w:basedOn w:val="DefaultParagraphFont"/>
    <w:uiPriority w:val="99"/>
    <w:unhideWhenUsed/>
    <w:rsid w:val="00490F9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713801">
      <w:bodyDiv w:val="1"/>
      <w:marLeft w:val="0"/>
      <w:marRight w:val="0"/>
      <w:marTop w:val="0"/>
      <w:marBottom w:val="0"/>
      <w:divBdr>
        <w:top w:val="none" w:sz="0" w:space="0" w:color="auto"/>
        <w:left w:val="none" w:sz="0" w:space="0" w:color="auto"/>
        <w:bottom w:val="none" w:sz="0" w:space="0" w:color="auto"/>
        <w:right w:val="none" w:sz="0" w:space="0" w:color="auto"/>
      </w:divBdr>
    </w:div>
    <w:div w:id="861865801">
      <w:bodyDiv w:val="1"/>
      <w:marLeft w:val="0"/>
      <w:marRight w:val="0"/>
      <w:marTop w:val="0"/>
      <w:marBottom w:val="0"/>
      <w:divBdr>
        <w:top w:val="none" w:sz="0" w:space="0" w:color="auto"/>
        <w:left w:val="none" w:sz="0" w:space="0" w:color="auto"/>
        <w:bottom w:val="none" w:sz="0" w:space="0" w:color="auto"/>
        <w:right w:val="none" w:sz="0" w:space="0" w:color="auto"/>
      </w:divBdr>
    </w:div>
    <w:div w:id="996497058">
      <w:bodyDiv w:val="1"/>
      <w:marLeft w:val="0"/>
      <w:marRight w:val="0"/>
      <w:marTop w:val="0"/>
      <w:marBottom w:val="0"/>
      <w:divBdr>
        <w:top w:val="none" w:sz="0" w:space="0" w:color="auto"/>
        <w:left w:val="none" w:sz="0" w:space="0" w:color="auto"/>
        <w:bottom w:val="none" w:sz="0" w:space="0" w:color="auto"/>
        <w:right w:val="none" w:sz="0" w:space="0" w:color="auto"/>
      </w:divBdr>
    </w:div>
    <w:div w:id="1075201498">
      <w:bodyDiv w:val="1"/>
      <w:marLeft w:val="0"/>
      <w:marRight w:val="0"/>
      <w:marTop w:val="0"/>
      <w:marBottom w:val="0"/>
      <w:divBdr>
        <w:top w:val="none" w:sz="0" w:space="0" w:color="auto"/>
        <w:left w:val="none" w:sz="0" w:space="0" w:color="auto"/>
        <w:bottom w:val="none" w:sz="0" w:space="0" w:color="auto"/>
        <w:right w:val="none" w:sz="0" w:space="0" w:color="auto"/>
      </w:divBdr>
    </w:div>
    <w:div w:id="1364599527">
      <w:bodyDiv w:val="1"/>
      <w:marLeft w:val="0"/>
      <w:marRight w:val="0"/>
      <w:marTop w:val="0"/>
      <w:marBottom w:val="0"/>
      <w:divBdr>
        <w:top w:val="none" w:sz="0" w:space="0" w:color="auto"/>
        <w:left w:val="none" w:sz="0" w:space="0" w:color="auto"/>
        <w:bottom w:val="none" w:sz="0" w:space="0" w:color="auto"/>
        <w:right w:val="none" w:sz="0" w:space="0" w:color="auto"/>
      </w:divBdr>
    </w:div>
    <w:div w:id="1449737774">
      <w:bodyDiv w:val="1"/>
      <w:marLeft w:val="0"/>
      <w:marRight w:val="0"/>
      <w:marTop w:val="0"/>
      <w:marBottom w:val="0"/>
      <w:divBdr>
        <w:top w:val="none" w:sz="0" w:space="0" w:color="auto"/>
        <w:left w:val="none" w:sz="0" w:space="0" w:color="auto"/>
        <w:bottom w:val="none" w:sz="0" w:space="0" w:color="auto"/>
        <w:right w:val="none" w:sz="0" w:space="0" w:color="auto"/>
      </w:divBdr>
      <w:divsChild>
        <w:div w:id="1229653768">
          <w:marLeft w:val="-180"/>
          <w:marRight w:val="-180"/>
          <w:marTop w:val="0"/>
          <w:marBottom w:val="0"/>
          <w:divBdr>
            <w:top w:val="none" w:sz="0" w:space="0" w:color="auto"/>
            <w:left w:val="none" w:sz="0" w:space="0" w:color="auto"/>
            <w:bottom w:val="none" w:sz="0" w:space="0" w:color="auto"/>
            <w:right w:val="none" w:sz="0" w:space="0" w:color="auto"/>
          </w:divBdr>
          <w:divsChild>
            <w:div w:id="114007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21523">
      <w:bodyDiv w:val="1"/>
      <w:marLeft w:val="0"/>
      <w:marRight w:val="0"/>
      <w:marTop w:val="0"/>
      <w:marBottom w:val="0"/>
      <w:divBdr>
        <w:top w:val="none" w:sz="0" w:space="0" w:color="auto"/>
        <w:left w:val="none" w:sz="0" w:space="0" w:color="auto"/>
        <w:bottom w:val="none" w:sz="0" w:space="0" w:color="auto"/>
        <w:right w:val="none" w:sz="0" w:space="0" w:color="auto"/>
      </w:divBdr>
      <w:divsChild>
        <w:div w:id="1018656589">
          <w:marLeft w:val="-180"/>
          <w:marRight w:val="-180"/>
          <w:marTop w:val="0"/>
          <w:marBottom w:val="0"/>
          <w:divBdr>
            <w:top w:val="none" w:sz="0" w:space="0" w:color="auto"/>
            <w:left w:val="none" w:sz="0" w:space="0" w:color="auto"/>
            <w:bottom w:val="none" w:sz="0" w:space="0" w:color="auto"/>
            <w:right w:val="none" w:sz="0" w:space="0" w:color="auto"/>
          </w:divBdr>
          <w:divsChild>
            <w:div w:id="214388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www.anticorruzione.it/en/-/atto-di-segnalazione-n.-3-del-23-luglio-2025" TargetMode="External"/><Relationship Id="rId39" Type="http://schemas.openxmlformats.org/officeDocument/2006/relationships/hyperlink" Target="https://www.governo.it/it/articolo/comunicato-stampa-del-consiglio-dei-ministri-n-159/31034" TargetMode="External"/><Relationship Id="rId21" Type="http://schemas.openxmlformats.org/officeDocument/2006/relationships/footer" Target="footer3.xml"/><Relationship Id="rId34" Type="http://schemas.openxmlformats.org/officeDocument/2006/relationships/hyperlink" Target="https://rm.coe.int/168074779b" TargetMode="External"/><Relationship Id="rId42" Type="http://schemas.openxmlformats.org/officeDocument/2006/relationships/hyperlink" Target="https://www.cortedicassazione.it/resources/cms/documents/Discorso_Procuratore_Generale_2026.pdf" TargetMode="External"/><Relationship Id="rId47" Type="http://schemas.openxmlformats.org/officeDocument/2006/relationships/hyperlink" Target="https://hudoc.echr.coe.int/eng" TargetMode="External"/><Relationship Id="rId50" Type="http://schemas.openxmlformats.org/officeDocument/2006/relationships/hyperlink" Target="https://www.csm.it/portale/documents/21768/13139917/Volume+relazione+annuale+2025+-+rev+21+dic.pdf/cac09ca3-fb40-011b-3807-5f808df61316?t=1770313214182" TargetMode="External"/><Relationship Id="rId55" Type="http://schemas.openxmlformats.org/officeDocument/2006/relationships/hyperlink" Target="https://www.giustizia.it/cmsresources/cms/documents/anno_giudiziario2026_relazione_amministrazione2025.pdf" TargetMode="External"/><Relationship Id="rId63" Type="http://schemas.openxmlformats.org/officeDocument/2006/relationships/hyperlink" Target="https://www.senato.it/leggi-e-documenti/disegni-di-legge/scheda-ddl?did=56514" TargetMode="External"/><Relationship Id="rId68" Type="http://schemas.openxmlformats.org/officeDocument/2006/relationships/header" Target="header4.xml"/><Relationship Id="rId7" Type="http://schemas.openxmlformats.org/officeDocument/2006/relationships/customXml" Target="../customXml/item7.xml"/><Relationship Id="rId71"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associazionedeicostituzionalisti.it/it/la-lettera/04-2025-il-decreto-legge-sicurezza" TargetMode="External"/><Relationship Id="rId11" Type="http://schemas.openxmlformats.org/officeDocument/2006/relationships/settings" Target="settings.xml"/><Relationship Id="rId24" Type="http://schemas.openxmlformats.org/officeDocument/2006/relationships/hyperlink" Target="https://www.anticorruzione.it/%20en/-/piano-nazionale-anticorruzione-2025" TargetMode="External"/><Relationship Id="rId32" Type="http://schemas.openxmlformats.org/officeDocument/2006/relationships/hyperlink" Target="https://www.camera.it/temiap/documentazione/temi/pdf/1354685.pdf" TargetMode="External"/><Relationship Id="rId37" Type="http://schemas.openxmlformats.org/officeDocument/2006/relationships/hyperlink" Target="https://rm.coe.int/2025-annual-report/48802b1633" TargetMode="External"/><Relationship Id="rId40" Type="http://schemas.openxmlformats.org/officeDocument/2006/relationships/hyperlink" Target="https://www.corteconti.it/Download?id=c953a7e4-493f-41d1-8fe3-fac8534fb39c" TargetMode="External"/><Relationship Id="rId45" Type="http://schemas.openxmlformats.org/officeDocument/2006/relationships/hyperlink" Target="https://www.cortedicassazione.it/resources/cms/documents/Documento_approvato_dallAssemblea_Generale_del_19_giugno_2025.pdf" TargetMode="External"/><Relationship Id="rId53" Type="http://schemas.openxmlformats.org/officeDocument/2006/relationships/hyperlink" Target="https://www.dgt.mef.gov.it/gt/it/relazione-annuale-sullo-stato-del-contenzioso-tributario" TargetMode="External"/><Relationship Id="rId58" Type="http://schemas.openxmlformats.org/officeDocument/2006/relationships/hyperlink" Target="https://www.consiglionazionaleforense.it/web/cnf-news/-/24697-387" TargetMode="External"/><Relationship Id="rId66" Type="http://schemas.openxmlformats.org/officeDocument/2006/relationships/hyperlink" Target="https://www.venice.coe.int/webforms/documents/default.aspx?pdffile=CDL-AD(2025)038-e" TargetMode="External"/><Relationship Id="rId7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www.anticorruzione.it/documents/91439/393633199/Anac+-+Presentazione+della+Relazione+annuale+2026+su+attivit%C3%A0+2025.pdf/f7b5224c-6397-06ae-7c23-be464a3b1fc6?t=1776845817673" TargetMode="External"/><Relationship Id="rId28" Type="http://schemas.openxmlformats.org/officeDocument/2006/relationships/hyperlink" Target="https://www.amcorteconti.it/lettera-aperta-al-presidente-giorgia-meloni-sulla-riforma-della-corte-dei-conti/" TargetMode="External"/><Relationship Id="rId36" Type="http://schemas.openxmlformats.org/officeDocument/2006/relationships/hyperlink" Target="https://rm.coe.int/letter-to-the-presidents-of-the-italian-senate-and-chamber-of-deputies/48802acdc9" TargetMode="External"/><Relationship Id="rId49" Type="http://schemas.openxmlformats.org/officeDocument/2006/relationships/hyperlink" Target="https://rm.coe.int/fifth-evaluation-round-preventing-corruption-and-promoting-integrity-i/1680b16315" TargetMode="External"/><Relationship Id="rId57" Type="http://schemas.openxmlformats.org/officeDocument/2006/relationships/hyperlink" Target="https://www.associazionemagistrati.it/doc/5064/referendum-toni-inaccettabili-contro-magistrati-ma-non-rispondiamo-ad-attacchi.htm" TargetMode="External"/><Relationship Id="rId61" Type="http://schemas.openxmlformats.org/officeDocument/2006/relationships/hyperlink" Target="https://www.quirinale.it/elementi/151430" TargetMode="Externa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camera.it/leg19/126?leg=19&amp;idDocumento=1921" TargetMode="External"/><Relationship Id="rId44" Type="http://schemas.openxmlformats.org/officeDocument/2006/relationships/hyperlink" Target="https://www.cortedicassazione.it/resources/cms/documents/Relazione_Cassazione_2026.pdf" TargetMode="External"/><Relationship Id="rId52" Type="http://schemas.openxmlformats.org/officeDocument/2006/relationships/hyperlink" Target="https://www.istat.it/comunicato-stampa/efficienza-del-sistema-giustizia-analisi-dei-flussi-dei-procedimenti/" TargetMode="External"/><Relationship Id="rId60" Type="http://schemas.openxmlformats.org/officeDocument/2006/relationships/hyperlink" Target="https://www.oecd.org/content/dam/oecd/en/publications/reports/2024/10/implementing-the-oecd-anti-bribery-convention-phase-4-two-year-follow-up-report-italy_65d235f7/5841d4d2-en.pdf" TargetMode="External"/><Relationship Id="rId65" Type="http://schemas.openxmlformats.org/officeDocument/2006/relationships/hyperlink" Target="https://www.senato.it/leg/19/BGT/Schede/Statistiche/Leggi/DDLLeggiApprovate.html" TargetMode="External"/><Relationship Id="rId73"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www.anticorruzione.it/en/-/relazione.annuale.2025" TargetMode="External"/><Relationship Id="rId30" Type="http://schemas.openxmlformats.org/officeDocument/2006/relationships/hyperlink" Target="https://www.camera.it/leg19/126?leg=19&amp;idDocumento=2629" TargetMode="External"/><Relationship Id="rId35" Type="http://schemas.openxmlformats.org/officeDocument/2006/relationships/hyperlink" Target="https://rm.coe.int/opinion-no-24-2021-of-the-ccje/1680a47604" TargetMode="External"/><Relationship Id="rId43" Type="http://schemas.openxmlformats.org/officeDocument/2006/relationships/hyperlink" Target="https://www.cortedicassazione.it/resources/cms/documents/Rel.392026.pdf" TargetMode="External"/><Relationship Id="rId48" Type="http://schemas.openxmlformats.org/officeDocument/2006/relationships/hyperlink" Target="https://e-justice.europa.eu/topics/court-procedures/civil-cases/online-processing-cases-and-e-communication-courts/it_en" TargetMode="External"/><Relationship Id="rId56" Type="http://schemas.openxmlformats.org/officeDocument/2006/relationships/hyperlink" Target="https://www.osservatorioaic.it/images/rivista/pdf/2025_4_03_Morrone.pdf" TargetMode="External"/><Relationship Id="rId64" Type="http://schemas.openxmlformats.org/officeDocument/2006/relationships/hyperlink" Target="https://www.senato.it/leggi-e-documenti/statistiche/statistiche-sullattivita-legislativa/leggi-distinte-per-natura" TargetMode="External"/><Relationship Id="rId69" Type="http://schemas.openxmlformats.org/officeDocument/2006/relationships/header" Target="header5.xml"/><Relationship Id="rId8" Type="http://schemas.openxmlformats.org/officeDocument/2006/relationships/customXml" Target="../customXml/item8.xml"/><Relationship Id="rId51" Type="http://schemas.openxmlformats.org/officeDocument/2006/relationships/hyperlink" Target="https://www.csm.it/portale/documents/21768/92150/Parere+separazione+carriere+e+riforma+CSM+%28delibera+8+gennaio+2025%29.pdf/80a01678-fe53-f348-dce5-3296ea3d7891?t=1736525435000" TargetMode="External"/><Relationship Id="rId72" Type="http://schemas.openxmlformats.org/officeDocument/2006/relationships/header" Target="header6.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anticorruzione.it/en/-/del.n.478-26.11.2025.llgg.wb" TargetMode="External"/><Relationship Id="rId33" Type="http://schemas.openxmlformats.org/officeDocument/2006/relationships/hyperlink" Target="https://www.gazzettaufficiale.it/eli/id/2026/02/26/26A00920/sg" TargetMode="External"/><Relationship Id="rId38" Type="http://schemas.openxmlformats.org/officeDocument/2006/relationships/hyperlink" Target="https://search.coe.int/cm" TargetMode="External"/><Relationship Id="rId46" Type="http://schemas.openxmlformats.org/officeDocument/2006/relationships/hyperlink" Target="https://www.mappingmediafreedom.org/category/italy/" TargetMode="External"/><Relationship Id="rId59" Type="http://schemas.openxmlformats.org/officeDocument/2006/relationships/hyperlink" Target="https://sna.gov.it/home/attivita/comunita-di-pratica/comunita-di-pratica-per-rpct/buone-pratiche/" TargetMode="External"/><Relationship Id="rId67" Type="http://schemas.openxmlformats.org/officeDocument/2006/relationships/hyperlink" Target="https://verfassungsblog.de/the-securitarian-turn-in-italian-criminal-law/" TargetMode="External"/><Relationship Id="rId20" Type="http://schemas.openxmlformats.org/officeDocument/2006/relationships/header" Target="header3.xml"/><Relationship Id="rId41" Type="http://schemas.openxmlformats.org/officeDocument/2006/relationships/hyperlink" Target="https://www.cortedicassazione.it/resources/cms/documents/Discorso_Primo_Presidente_2026.pdf" TargetMode="External"/><Relationship Id="rId54" Type="http://schemas.openxmlformats.org/officeDocument/2006/relationships/hyperlink" Target="https://www.giustizia.it/giustizia/page/it/intervento_del_ministro_in_cassazione" TargetMode="External"/><Relationship Id="rId62" Type="http://schemas.openxmlformats.org/officeDocument/2006/relationships/hyperlink" Target="https://www.senato.it/leggi-e-documenti/disegni-di-legge/scheda-ddl?did=58803" TargetMode="External"/><Relationship Id="rId70" Type="http://schemas.openxmlformats.org/officeDocument/2006/relationships/footer" Target="footer4.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s>
</file>

<file path=word/_rels/footnotes.xml.rels><?xml version="1.0" encoding="UTF-8" standalone="yes"?>
<Relationships xmlns="http://schemas.openxmlformats.org/package/2006/relationships"><Relationship Id="rId8" Type="http://schemas.openxmlformats.org/officeDocument/2006/relationships/hyperlink" Target="https://www.camera.it/leg19/126?leg=19&amp;idDocumento=1921" TargetMode="External"/><Relationship Id="rId13" Type="http://schemas.openxmlformats.org/officeDocument/2006/relationships/hyperlink" Target="https://www.senato.it/leggi-e-documenti/disegni-di-legge/scheda-ddl?did=56514" TargetMode="External"/><Relationship Id="rId3" Type="http://schemas.openxmlformats.org/officeDocument/2006/relationships/hyperlink" Target="https://www.normattiva.it/esporta/attoCompleto?atto.dataPubblicazioneGazzetta=2025-09-25&amp;atto.codiceRedazionale=25G00143" TargetMode="External"/><Relationship Id="rId7" Type="http://schemas.openxmlformats.org/officeDocument/2006/relationships/hyperlink" Target="https://www.normattiva.it/eli/id/2026/03/25/26G00053/ORIGINAL" TargetMode="External"/><Relationship Id="rId12" Type="http://schemas.openxmlformats.org/officeDocument/2006/relationships/hyperlink" Target="https://search.coe.int/cm?i=0912594880286df5" TargetMode="External"/><Relationship Id="rId2" Type="http://schemas.openxmlformats.org/officeDocument/2006/relationships/hyperlink" Target="https://www.camera.it/leg19/126?leg=19&amp;idDocumento=2629" TargetMode="External"/><Relationship Id="rId1" Type="http://schemas.openxmlformats.org/officeDocument/2006/relationships/hyperlink" Target="https://commission.europa.eu/document/c19f24ea-0362-4375-9edf-9665fddbc6af_en" TargetMode="External"/><Relationship Id="rId6" Type="http://schemas.openxmlformats.org/officeDocument/2006/relationships/hyperlink" Target="https://www.difesa.it/sgd/staff/giornaleufficiale/nr-31-del-10-novembre-2025/83250.html" TargetMode="External"/><Relationship Id="rId11" Type="http://schemas.openxmlformats.org/officeDocument/2006/relationships/hyperlink" Target="https://rm.coe.int/2025-annual-report/48802b1633" TargetMode="External"/><Relationship Id="rId5" Type="http://schemas.openxmlformats.org/officeDocument/2006/relationships/hyperlink" Target="https://www.cortecostituzionale.it/sfoglia-ricorsi" TargetMode="External"/><Relationship Id="rId15" Type="http://schemas.openxmlformats.org/officeDocument/2006/relationships/hyperlink" Target="https://www.normattiva.it/uri-res/N2Ls?urn:nir:stato:legge:2026-04-24;54" TargetMode="External"/><Relationship Id="rId10" Type="http://schemas.openxmlformats.org/officeDocument/2006/relationships/hyperlink" Target="https://www.coe.int/en/web/execution/the-supervision-process" TargetMode="External"/><Relationship Id="rId4" Type="http://schemas.openxmlformats.org/officeDocument/2006/relationships/hyperlink" Target="http://eur-lex.europa.eu/legal-content/IT/TXT/?uri=CELEX:32024R1689" TargetMode="External"/><Relationship Id="rId9" Type="http://schemas.openxmlformats.org/officeDocument/2006/relationships/hyperlink" Target="https://www.normattiva.it/uri-res/N2Ls?urn:nir:stato:legge:2025;167" TargetMode="External"/><Relationship Id="rId14" Type="http://schemas.openxmlformats.org/officeDocument/2006/relationships/hyperlink" Target="https://monitor.civicus.org/press_release/2025/it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4.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DB3241C3-6131-4EF4-9381-9A6DBE23D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85DEDC53-A93E-4ADB-9EC2-F69334C80BD2}">
  <ds:schemaRefs/>
</ds:datastoreItem>
</file>

<file path=customXml/itemProps5.xml><?xml version="1.0" encoding="utf-8"?>
<ds:datastoreItem xmlns:ds="http://schemas.openxmlformats.org/officeDocument/2006/customXml" ds:itemID="{C23ED216-A2FE-470B-AD6F-BDEDB4630EDA}">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5799BB7C-547C-4C15-B61E-BE0A69226E01}">
  <ds:schemaRefs/>
</ds:datastoreItem>
</file>

<file path=customXml/itemProps7.xml><?xml version="1.0" encoding="utf-8"?>
<ds:datastoreItem xmlns:ds="http://schemas.openxmlformats.org/officeDocument/2006/customXml" ds:itemID="{1B627C70-AA8A-4A7B-BF8E-4BA13AE83615}">
  <ds:schemaRefs>
    <ds:schemaRef ds:uri="http://schemas.microsoft.com/sharepoint/v3/contenttype/forms"/>
  </ds:schemaRefs>
</ds:datastoreItem>
</file>

<file path=customXml/itemProps8.xml><?xml version="1.0" encoding="utf-8"?>
<ds:datastoreItem xmlns:ds="http://schemas.openxmlformats.org/officeDocument/2006/customXml" ds:itemID="{8EA01602-D25F-4F68-8912-2562E193C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9605</Words>
  <Characters>54750</Characters>
  <Application>Microsoft Office Word</Application>
  <DocSecurity>0</DocSecurity>
  <PresentationFormat>Microsoft Word 14.0</PresentationFormat>
  <Lines>456</Lines>
  <Paragraphs>128</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18</cp:revision>
  <dcterms:created xsi:type="dcterms:W3CDTF">2026-07-12T21:15:00Z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DocStatus">
    <vt:lpwstr>Green</vt:lpwstr>
  </property>
  <property fmtid="{D5CDD505-2E9C-101B-9397-08002B2CF9AE}" pid="4" name="MSIP_Label_6bd9ddd1-4d20-43f6-abfa-fc3c07406f94_Name">
    <vt:lpwstr>Commission Use</vt:lpwstr>
  </property>
  <property fmtid="{D5CDD505-2E9C-101B-9397-08002B2CF9AE}" pid="5" name="Part">
    <vt:lpwstr>1</vt:lpwstr>
  </property>
  <property fmtid="{D5CDD505-2E9C-101B-9397-08002B2CF9AE}" pid="6" name="MSIP_Label_6bd9ddd1-4d20-43f6-abfa-fc3c07406f94_ContentBits">
    <vt:lpwstr>0</vt:lpwstr>
  </property>
  <property fmtid="{D5CDD505-2E9C-101B-9397-08002B2CF9AE}" pid="7" name="ContentTypeId">
    <vt:lpwstr>0x010100CD92FCBF67B53A4EB1060DF04C43C986</vt:lpwstr>
  </property>
  <property fmtid="{D5CDD505-2E9C-101B-9397-08002B2CF9AE}" pid="8" name="CPTemplateID">
    <vt:lpwstr>CP-025</vt:lpwstr>
  </property>
  <property fmtid="{D5CDD505-2E9C-101B-9397-08002B2CF9AE}" pid="9" name="MSIP_Label_6bd9ddd1-4d20-43f6-abfa-fc3c07406f94_Tag">
    <vt:lpwstr>10, 3, 0, 1</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Method">
    <vt:lpwstr>Standard</vt:lpwstr>
  </property>
  <property fmtid="{D5CDD505-2E9C-101B-9397-08002B2CF9AE}" pid="12" name="MSIP_Label_6bd9ddd1-4d20-43f6-abfa-fc3c07406f94_Enabled">
    <vt:lpwstr>true</vt:lpwstr>
  </property>
  <property fmtid="{D5CDD505-2E9C-101B-9397-08002B2CF9AE}" pid="13" name="Total parts">
    <vt:lpwstr>1</vt:lpwstr>
  </property>
  <property fmtid="{D5CDD505-2E9C-101B-9397-08002B2CF9AE}" pid="14" name="MSIP_Label_6bd9ddd1-4d20-43f6-abfa-fc3c07406f94_SetDate">
    <vt:lpwstr>2026-07-11T19:02:47Z</vt:lpwstr>
  </property>
  <property fmtid="{D5CDD505-2E9C-101B-9397-08002B2CF9AE}" pid="15" name="Level of sensitivity">
    <vt:lpwstr>Standard treatment</vt:lpwstr>
  </property>
  <property fmtid="{D5CDD505-2E9C-101B-9397-08002B2CF9AE}" pid="16" name="MSIP_Label_6bd9ddd1-4d20-43f6-abfa-fc3c07406f94_ActionId">
    <vt:lpwstr>3358eb7d-af1a-446c-abc4-4fa402bd72e2</vt:lpwstr>
  </property>
</Properties>
</file>